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3D32C07D" w:rsidR="005028E4" w:rsidRPr="000430DB" w:rsidRDefault="00977592" w:rsidP="00C129B7">
      <w:pPr>
        <w:spacing w:line="240" w:lineRule="auto"/>
        <w:rPr>
          <w:rFonts w:ascii="PT Serif" w:hAnsi="PT Serif" w:cs="Times New Roman"/>
          <w:sz w:val="24"/>
          <w:szCs w:val="24"/>
        </w:rPr>
      </w:pPr>
      <w:r w:rsidRPr="000430DB">
        <w:rPr>
          <w:rFonts w:ascii="PT Serif" w:hAnsi="PT Serif" w:cs="Times New Roman"/>
          <w:b/>
          <w:bCs/>
          <w:noProof/>
          <w:color w:val="0E2841" w:themeColor="text2"/>
          <w:sz w:val="24"/>
          <w:szCs w:val="24"/>
        </w:rPr>
        <mc:AlternateContent>
          <mc:Choice Requires="wps">
            <w:drawing>
              <wp:anchor distT="0" distB="0" distL="114300" distR="114300" simplePos="0" relativeHeight="251660288" behindDoc="0" locked="0" layoutInCell="1" allowOverlap="1" wp14:anchorId="3BC0089B" wp14:editId="2D2D5ABB">
                <wp:simplePos x="0" y="0"/>
                <wp:positionH relativeFrom="margin">
                  <wp:posOffset>2953</wp:posOffset>
                </wp:positionH>
                <wp:positionV relativeFrom="paragraph">
                  <wp:posOffset>-85105</wp:posOffset>
                </wp:positionV>
                <wp:extent cx="2220595" cy="1718631"/>
                <wp:effectExtent l="0" t="0" r="1905" b="0"/>
                <wp:wrapNone/>
                <wp:docPr id="719965892" name="Cuadro de texto 2"/>
                <wp:cNvGraphicFramePr/>
                <a:graphic xmlns:a="http://schemas.openxmlformats.org/drawingml/2006/main">
                  <a:graphicData uri="http://schemas.microsoft.com/office/word/2010/wordprocessingShape">
                    <wps:wsp>
                      <wps:cNvSpPr txBox="1"/>
                      <wps:spPr>
                        <a:xfrm>
                          <a:off x="0" y="0"/>
                          <a:ext cx="2220595" cy="1718631"/>
                        </a:xfrm>
                        <a:prstGeom prst="rect">
                          <a:avLst/>
                        </a:prstGeom>
                        <a:solidFill>
                          <a:schemeClr val="tx2">
                            <a:lumMod val="90000"/>
                            <a:lumOff val="10000"/>
                          </a:schemeClr>
                        </a:solidFill>
                        <a:ln w="6350">
                          <a:noFill/>
                        </a:ln>
                      </wps:spPr>
                      <wps:txbx>
                        <w:txbxContent>
                          <w:p w14:paraId="50F7FF23" w14:textId="77777777" w:rsidR="00A9265E" w:rsidRPr="000430DB" w:rsidRDefault="00A9265E" w:rsidP="00A9265E">
                            <w:pPr>
                              <w:rPr>
                                <w:rFonts w:ascii="PT Serif" w:hAnsi="PT Serif"/>
                                <w:sz w:val="24"/>
                                <w:szCs w:val="24"/>
                              </w:rPr>
                            </w:pPr>
                            <w:r w:rsidRPr="000430DB">
                              <w:rPr>
                                <w:rFonts w:ascii="PT Serif" w:hAnsi="PT Serif"/>
                                <w:sz w:val="24"/>
                                <w:szCs w:val="24"/>
                              </w:rPr>
                              <w:t>Por:</w:t>
                            </w:r>
                          </w:p>
                          <w:p w14:paraId="7DDDFD7A" w14:textId="77777777" w:rsidR="00977592" w:rsidRDefault="002D57FD" w:rsidP="00977592">
                            <w:pPr>
                              <w:rPr>
                                <w:rFonts w:ascii="PT Serif" w:hAnsi="PT Serif"/>
                                <w:sz w:val="24"/>
                                <w:szCs w:val="24"/>
                              </w:rPr>
                            </w:pPr>
                            <w:r w:rsidRPr="000430DB">
                              <w:rPr>
                                <w:rFonts w:ascii="PT Serif" w:hAnsi="PT Serif"/>
                                <w:sz w:val="24"/>
                                <w:szCs w:val="24"/>
                              </w:rPr>
                              <w:t>José Jafet</w:t>
                            </w:r>
                            <w:r w:rsidR="00977592">
                              <w:rPr>
                                <w:rFonts w:ascii="PT Serif" w:hAnsi="PT Serif"/>
                                <w:sz w:val="24"/>
                                <w:szCs w:val="24"/>
                              </w:rPr>
                              <w:t xml:space="preserve"> </w:t>
                            </w:r>
                          </w:p>
                          <w:p w14:paraId="2198E838" w14:textId="05DBF68B" w:rsidR="00977592" w:rsidRPr="000430DB" w:rsidRDefault="00977592" w:rsidP="00A9265E">
                            <w:pPr>
                              <w:rPr>
                                <w:rFonts w:ascii="PT Serif" w:hAnsi="PT Serif"/>
                                <w:sz w:val="24"/>
                                <w:szCs w:val="24"/>
                              </w:rPr>
                            </w:pPr>
                            <w:r w:rsidRPr="000430DB">
                              <w:rPr>
                                <w:rFonts w:ascii="PT Serif" w:hAnsi="PT Serif"/>
                                <w:sz w:val="24"/>
                                <w:szCs w:val="24"/>
                              </w:rPr>
                              <w:t>Noriega Zamudio</w:t>
                            </w:r>
                            <w:r w:rsidR="00490670">
                              <w:rPr>
                                <w:rFonts w:ascii="PT Serif" w:hAnsi="PT Serif"/>
                                <w:sz w:val="24"/>
                                <w:szCs w:val="24"/>
                              </w:rPr>
                              <w:t xml:space="preserve"> </w:t>
                            </w:r>
                            <w:r w:rsidR="002D57FD" w:rsidRPr="000430DB">
                              <w:rPr>
                                <w:rFonts w:ascii="PT Serif" w:hAnsi="PT Serif"/>
                                <w:sz w:val="24"/>
                                <w:szCs w:val="24"/>
                              </w:rPr>
                              <w:t>*</w:t>
                            </w:r>
                          </w:p>
                          <w:p w14:paraId="2469002A" w14:textId="77777777" w:rsidR="00977592" w:rsidRDefault="002D57FD" w:rsidP="00977592">
                            <w:pPr>
                              <w:rPr>
                                <w:rFonts w:ascii="PT Serif" w:hAnsi="PT Serif"/>
                                <w:sz w:val="24"/>
                                <w:szCs w:val="24"/>
                              </w:rPr>
                            </w:pPr>
                            <w:r w:rsidRPr="000430DB">
                              <w:rPr>
                                <w:rFonts w:ascii="PT Serif" w:hAnsi="PT Serif"/>
                                <w:sz w:val="24"/>
                                <w:szCs w:val="24"/>
                              </w:rPr>
                              <w:t>Diego Abraham</w:t>
                            </w:r>
                            <w:r w:rsidR="00977592">
                              <w:rPr>
                                <w:rFonts w:ascii="PT Serif" w:hAnsi="PT Serif"/>
                                <w:sz w:val="24"/>
                                <w:szCs w:val="24"/>
                              </w:rPr>
                              <w:t xml:space="preserve"> </w:t>
                            </w:r>
                          </w:p>
                          <w:p w14:paraId="151781CF" w14:textId="628DF93A" w:rsidR="002D57FD" w:rsidRPr="000430DB" w:rsidRDefault="00977592" w:rsidP="00A9265E">
                            <w:pPr>
                              <w:rPr>
                                <w:rFonts w:ascii="PT Serif" w:hAnsi="PT Serif"/>
                                <w:sz w:val="24"/>
                                <w:szCs w:val="24"/>
                              </w:rPr>
                            </w:pPr>
                            <w:r w:rsidRPr="000430DB">
                              <w:rPr>
                                <w:rFonts w:ascii="PT Serif" w:hAnsi="PT Serif"/>
                                <w:sz w:val="24"/>
                                <w:szCs w:val="24"/>
                              </w:rPr>
                              <w:t>Nuñez Aguirre</w:t>
                            </w:r>
                            <w:r w:rsidR="00490670">
                              <w:rPr>
                                <w:rFonts w:ascii="PT Serif" w:hAnsi="PT Serif"/>
                                <w:sz w:val="24"/>
                                <w:szCs w:val="24"/>
                              </w:rPr>
                              <w:t xml:space="preserve"> </w:t>
                            </w:r>
                            <w:r w:rsidR="002D57FD" w:rsidRPr="000430DB">
                              <w:rPr>
                                <w:rFonts w:ascii="PT Serif" w:hAnsi="PT Seri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6" type="#_x0000_t202" style="position:absolute;margin-left:.25pt;margin-top:-6.7pt;width:174.85pt;height:13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" fillcolor="#153e64 [2911]" stroked="f" strokeweight=".5pt">
                <v:textbox>
                  <w:txbxContent>
                    <w:p w14:paraId="50F7FF23" w14:textId="77777777" w:rsidR="00A9265E" w:rsidRPr="000430DB" w:rsidRDefault="00A9265E" w:rsidP="00A9265E">
                      <w:pPr>
                        <w:rPr>
                          <w:rFonts w:ascii="PT Serif" w:hAnsi="PT Serif"/>
                          <w:sz w:val="24"/>
                          <w:szCs w:val="24"/>
                        </w:rPr>
                      </w:pPr>
                      <w:r w:rsidRPr="000430DB">
                        <w:rPr>
                          <w:rFonts w:ascii="PT Serif" w:hAnsi="PT Serif"/>
                          <w:sz w:val="24"/>
                          <w:szCs w:val="24"/>
                        </w:rPr>
                        <w:t>Por:</w:t>
                      </w:r>
                    </w:p>
                    <w:p w14:paraId="7DDDFD7A" w14:textId="77777777" w:rsidR="00977592" w:rsidRDefault="002D57FD" w:rsidP="00977592">
                      <w:pPr>
                        <w:rPr>
                          <w:rFonts w:ascii="PT Serif" w:hAnsi="PT Serif"/>
                          <w:sz w:val="24"/>
                          <w:szCs w:val="24"/>
                        </w:rPr>
                      </w:pPr>
                      <w:r w:rsidRPr="000430DB">
                        <w:rPr>
                          <w:rFonts w:ascii="PT Serif" w:hAnsi="PT Serif"/>
                          <w:sz w:val="24"/>
                          <w:szCs w:val="24"/>
                        </w:rPr>
                        <w:t>José Jafet</w:t>
                      </w:r>
                      <w:r w:rsidR="00977592">
                        <w:rPr>
                          <w:rFonts w:ascii="PT Serif" w:hAnsi="PT Serif"/>
                          <w:sz w:val="24"/>
                          <w:szCs w:val="24"/>
                        </w:rPr>
                        <w:t xml:space="preserve"> </w:t>
                      </w:r>
                    </w:p>
                    <w:p w14:paraId="2198E838" w14:textId="05DBF68B" w:rsidR="00977592" w:rsidRPr="000430DB" w:rsidRDefault="00977592" w:rsidP="00A9265E">
                      <w:pPr>
                        <w:rPr>
                          <w:rFonts w:ascii="PT Serif" w:hAnsi="PT Serif"/>
                          <w:sz w:val="24"/>
                          <w:szCs w:val="24"/>
                        </w:rPr>
                      </w:pPr>
                      <w:r w:rsidRPr="000430DB">
                        <w:rPr>
                          <w:rFonts w:ascii="PT Serif" w:hAnsi="PT Serif"/>
                          <w:sz w:val="24"/>
                          <w:szCs w:val="24"/>
                        </w:rPr>
                        <w:t>Noriega Zamudio</w:t>
                      </w:r>
                      <w:r w:rsidR="00490670">
                        <w:rPr>
                          <w:rFonts w:ascii="PT Serif" w:hAnsi="PT Serif"/>
                          <w:sz w:val="24"/>
                          <w:szCs w:val="24"/>
                        </w:rPr>
                        <w:t xml:space="preserve"> </w:t>
                      </w:r>
                      <w:r w:rsidR="002D57FD" w:rsidRPr="000430DB">
                        <w:rPr>
                          <w:rFonts w:ascii="PT Serif" w:hAnsi="PT Serif"/>
                          <w:sz w:val="24"/>
                          <w:szCs w:val="24"/>
                        </w:rPr>
                        <w:t>*</w:t>
                      </w:r>
                    </w:p>
                    <w:p w14:paraId="2469002A" w14:textId="77777777" w:rsidR="00977592" w:rsidRDefault="002D57FD" w:rsidP="00977592">
                      <w:pPr>
                        <w:rPr>
                          <w:rFonts w:ascii="PT Serif" w:hAnsi="PT Serif"/>
                          <w:sz w:val="24"/>
                          <w:szCs w:val="24"/>
                        </w:rPr>
                      </w:pPr>
                      <w:r w:rsidRPr="000430DB">
                        <w:rPr>
                          <w:rFonts w:ascii="PT Serif" w:hAnsi="PT Serif"/>
                          <w:sz w:val="24"/>
                          <w:szCs w:val="24"/>
                        </w:rPr>
                        <w:t>Diego Abraham</w:t>
                      </w:r>
                      <w:r w:rsidR="00977592">
                        <w:rPr>
                          <w:rFonts w:ascii="PT Serif" w:hAnsi="PT Serif"/>
                          <w:sz w:val="24"/>
                          <w:szCs w:val="24"/>
                        </w:rPr>
                        <w:t xml:space="preserve"> </w:t>
                      </w:r>
                    </w:p>
                    <w:p w14:paraId="151781CF" w14:textId="628DF93A" w:rsidR="002D57FD" w:rsidRPr="000430DB" w:rsidRDefault="00977592" w:rsidP="00A9265E">
                      <w:pPr>
                        <w:rPr>
                          <w:rFonts w:ascii="PT Serif" w:hAnsi="PT Serif"/>
                          <w:sz w:val="24"/>
                          <w:szCs w:val="24"/>
                        </w:rPr>
                      </w:pPr>
                      <w:r w:rsidRPr="000430DB">
                        <w:rPr>
                          <w:rFonts w:ascii="PT Serif" w:hAnsi="PT Serif"/>
                          <w:sz w:val="24"/>
                          <w:szCs w:val="24"/>
                        </w:rPr>
                        <w:t>Nuñez Aguirre</w:t>
                      </w:r>
                      <w:r w:rsidR="00490670">
                        <w:rPr>
                          <w:rFonts w:ascii="PT Serif" w:hAnsi="PT Serif"/>
                          <w:sz w:val="24"/>
                          <w:szCs w:val="24"/>
                        </w:rPr>
                        <w:t xml:space="preserve"> </w:t>
                      </w:r>
                      <w:r w:rsidR="002D57FD" w:rsidRPr="000430DB">
                        <w:rPr>
                          <w:rFonts w:ascii="PT Serif" w:hAnsi="PT Serif"/>
                          <w:sz w:val="24"/>
                          <w:szCs w:val="24"/>
                        </w:rPr>
                        <w:t>**</w:t>
                      </w:r>
                    </w:p>
                  </w:txbxContent>
                </v:textbox>
                <w10:wrap anchorx="margin"/>
              </v:shape>
            </w:pict>
          </mc:Fallback>
        </mc:AlternateContent>
      </w:r>
      <w:r w:rsidR="002D57FD" w:rsidRPr="000430DB">
        <w:rPr>
          <w:rFonts w:ascii="PT Serif" w:hAnsi="PT Serif" w:cs="Times New Roman"/>
          <w:b/>
          <w:bCs/>
          <w:noProof/>
          <w:color w:val="0E2841" w:themeColor="text2"/>
          <w:sz w:val="24"/>
          <w:szCs w:val="24"/>
        </w:rPr>
        <mc:AlternateContent>
          <mc:Choice Requires="wps">
            <w:drawing>
              <wp:anchor distT="0" distB="0" distL="114300" distR="114300" simplePos="0" relativeHeight="251659264" behindDoc="0" locked="0" layoutInCell="1" allowOverlap="1" wp14:anchorId="20823ECE" wp14:editId="77A3552F">
                <wp:simplePos x="0" y="0"/>
                <wp:positionH relativeFrom="margin">
                  <wp:posOffset>2495550</wp:posOffset>
                </wp:positionH>
                <wp:positionV relativeFrom="margin">
                  <wp:align>top</wp:align>
                </wp:positionV>
                <wp:extent cx="3251200" cy="1574800"/>
                <wp:effectExtent l="0" t="0" r="0" b="635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1574800"/>
                        </a:xfrm>
                        <a:prstGeom prst="rect">
                          <a:avLst/>
                        </a:prstGeom>
                        <a:noFill/>
                        <a:ln w="6350">
                          <a:noFill/>
                        </a:ln>
                      </wps:spPr>
                      <wps:txbx>
                        <w:txbxContent>
                          <w:p w14:paraId="4D8E8983" w14:textId="2E4F693B" w:rsidR="00C15E4E" w:rsidRPr="000430DB" w:rsidRDefault="002E362E" w:rsidP="002D57FD">
                            <w:pPr>
                              <w:spacing w:line="360" w:lineRule="auto"/>
                              <w:jc w:val="right"/>
                              <w:rPr>
                                <w:rFonts w:ascii="PT Serif" w:hAnsi="PT Serif" w:cs="Times New Roman"/>
                                <w:i/>
                                <w:iCs/>
                                <w:smallCaps/>
                                <w:color w:val="0E2841" w:themeColor="text2"/>
                                <w:sz w:val="24"/>
                                <w:szCs w:val="24"/>
                              </w:rPr>
                            </w:pPr>
                            <w:bookmarkStart w:id="0" w:name="_Hlk189133949"/>
                            <w:r w:rsidRPr="000430DB">
                              <w:rPr>
                                <w:rFonts w:ascii="PT Serif" w:hAnsi="PT Serif" w:cs="Times New Roman"/>
                                <w:i/>
                                <w:iCs/>
                                <w:smallCaps/>
                                <w:color w:val="0E2841" w:themeColor="text2"/>
                                <w:sz w:val="24"/>
                                <w:szCs w:val="24"/>
                              </w:rPr>
                              <w:t>PERÚ Y MÉXICO</w:t>
                            </w:r>
                            <w:r>
                              <w:rPr>
                                <w:rFonts w:ascii="PT Serif" w:hAnsi="PT Serif" w:cs="Times New Roman"/>
                                <w:i/>
                                <w:iCs/>
                                <w:smallCaps/>
                                <w:color w:val="0E2841" w:themeColor="text2"/>
                                <w:sz w:val="24"/>
                                <w:szCs w:val="24"/>
                              </w:rPr>
                              <w:t xml:space="preserve">: </w:t>
                            </w:r>
                            <w:r w:rsidR="002D57FD" w:rsidRPr="000430DB">
                              <w:rPr>
                                <w:rFonts w:ascii="PT Serif" w:hAnsi="PT Serif" w:cs="Times New Roman"/>
                                <w:i/>
                                <w:iCs/>
                                <w:smallCaps/>
                                <w:color w:val="0E2841" w:themeColor="text2"/>
                                <w:sz w:val="24"/>
                                <w:szCs w:val="24"/>
                              </w:rPr>
                              <w:t>INEFICACIA DE LAS SENTENCIAS DE LA CORTE INTERAMERICANA EN CASOS DE DESAPARICIÓN FORZADA</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3ECE" id="Cuadro de texto 1" o:spid="_x0000_s1027" type="#_x0000_t202" style="position:absolute;margin-left:196.5pt;margin-top:0;width:256pt;height:124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" filled="f" stroked="f" strokeweight=".5pt">
                <v:textbox>
                  <w:txbxContent>
                    <w:p w14:paraId="4D8E8983" w14:textId="2E4F693B" w:rsidR="00C15E4E" w:rsidRPr="000430DB" w:rsidRDefault="002E362E" w:rsidP="002D57FD">
                      <w:pPr>
                        <w:spacing w:line="360" w:lineRule="auto"/>
                        <w:jc w:val="right"/>
                        <w:rPr>
                          <w:rFonts w:ascii="PT Serif" w:hAnsi="PT Serif" w:cs="Times New Roman"/>
                          <w:i/>
                          <w:iCs/>
                          <w:smallCaps/>
                          <w:color w:val="0E2841" w:themeColor="text2"/>
                          <w:sz w:val="24"/>
                          <w:szCs w:val="24"/>
                        </w:rPr>
                      </w:pPr>
                      <w:bookmarkStart w:id="1" w:name="_Hlk189133949"/>
                      <w:r w:rsidRPr="000430DB">
                        <w:rPr>
                          <w:rFonts w:ascii="PT Serif" w:hAnsi="PT Serif" w:cs="Times New Roman"/>
                          <w:i/>
                          <w:iCs/>
                          <w:smallCaps/>
                          <w:color w:val="0E2841" w:themeColor="text2"/>
                          <w:sz w:val="24"/>
                          <w:szCs w:val="24"/>
                        </w:rPr>
                        <w:t>PERÚ Y MÉXICO</w:t>
                      </w:r>
                      <w:r>
                        <w:rPr>
                          <w:rFonts w:ascii="PT Serif" w:hAnsi="PT Serif" w:cs="Times New Roman"/>
                          <w:i/>
                          <w:iCs/>
                          <w:smallCaps/>
                          <w:color w:val="0E2841" w:themeColor="text2"/>
                          <w:sz w:val="24"/>
                          <w:szCs w:val="24"/>
                        </w:rPr>
                        <w:t xml:space="preserve">: </w:t>
                      </w:r>
                      <w:r w:rsidR="002D57FD" w:rsidRPr="000430DB">
                        <w:rPr>
                          <w:rFonts w:ascii="PT Serif" w:hAnsi="PT Serif" w:cs="Times New Roman"/>
                          <w:i/>
                          <w:iCs/>
                          <w:smallCaps/>
                          <w:color w:val="0E2841" w:themeColor="text2"/>
                          <w:sz w:val="24"/>
                          <w:szCs w:val="24"/>
                        </w:rPr>
                        <w:t>INEFICACIA DE LAS SENTENCIAS DE LA CORTE INTERAMERICANA EN CASOS DE DESAPARICIÓN FORZADA</w:t>
                      </w:r>
                      <w:bookmarkEnd w:id="1"/>
                    </w:p>
                  </w:txbxContent>
                </v:textbox>
                <w10:wrap type="square" anchorx="margin" anchory="margin"/>
              </v:shape>
            </w:pict>
          </mc:Fallback>
        </mc:AlternateContent>
      </w:r>
      <w:r w:rsidR="008C013D" w:rsidRPr="000430DB">
        <w:rPr>
          <w:rFonts w:ascii="PT Serif" w:hAnsi="PT Serif" w:cs="Times New Roman"/>
          <w:sz w:val="24"/>
          <w:szCs w:val="24"/>
        </w:rPr>
        <w:t>Por</w:t>
      </w:r>
      <w:r w:rsidR="00150A7F" w:rsidRPr="000430DB">
        <w:rPr>
          <w:rFonts w:ascii="PT Serif" w:hAnsi="PT Serif" w:cs="Times New Roman"/>
          <w:sz w:val="24"/>
          <w:szCs w:val="24"/>
        </w:rPr>
        <w:t>:</w:t>
      </w:r>
    </w:p>
    <w:p w14:paraId="4E408CDA" w14:textId="0A6D7997" w:rsidR="00F95B06" w:rsidRPr="000430DB" w:rsidRDefault="00EF2FE1" w:rsidP="00F95B06">
      <w:pPr>
        <w:spacing w:line="240" w:lineRule="auto"/>
        <w:rPr>
          <w:rFonts w:ascii="Goudy Old Style" w:hAnsi="Goudy Old Style" w:cs="Times New Roman"/>
          <w:sz w:val="24"/>
          <w:szCs w:val="24"/>
        </w:rPr>
      </w:pPr>
      <w:r w:rsidRPr="000430DB">
        <w:rPr>
          <w:rFonts w:ascii="PT Serif" w:hAnsi="PT Serif" w:cs="Times New Roman"/>
          <w:sz w:val="24"/>
          <w:szCs w:val="24"/>
        </w:rPr>
        <w:t>Xxxxxxxxxxxxxxx</w:t>
      </w:r>
      <w:r w:rsidR="00107514" w:rsidRPr="000430DB">
        <w:rPr>
          <w:rStyle w:val="Refdenotaalpie"/>
          <w:rFonts w:ascii="Goudy Old Style" w:hAnsi="Goudy Old Style" w:cs="Times New Roman"/>
          <w:sz w:val="24"/>
          <w:szCs w:val="24"/>
        </w:rPr>
        <w:footnoteReference w:customMarkFollows="1" w:id="1"/>
        <w:sym w:font="Symbol" w:char="F02A"/>
      </w:r>
      <w:r w:rsidR="0089797A" w:rsidRPr="000430DB">
        <w:rPr>
          <w:rFonts w:ascii="Goudy Old Style" w:hAnsi="Goudy Old Style" w:cs="Times New Roman"/>
          <w:sz w:val="24"/>
          <w:szCs w:val="24"/>
        </w:rPr>
        <w:t xml:space="preserve"> </w:t>
      </w:r>
      <w:r w:rsidR="0089797A" w:rsidRPr="000430DB">
        <w:rPr>
          <w:rStyle w:val="Refdenotaalpie"/>
          <w:rFonts w:ascii="Goudy Old Style" w:hAnsi="Goudy Old Style" w:cs="Times New Roman"/>
          <w:sz w:val="24"/>
          <w:szCs w:val="24"/>
        </w:rPr>
        <w:footnoteReference w:customMarkFollows="1" w:id="2"/>
        <w:sym w:font="Symbol" w:char="F02A"/>
      </w:r>
      <w:r w:rsidR="0089797A" w:rsidRPr="000430DB">
        <w:rPr>
          <w:rStyle w:val="Refdenotaalpie"/>
          <w:rFonts w:ascii="Goudy Old Style" w:hAnsi="Goudy Old Style" w:cs="Times New Roman"/>
          <w:sz w:val="24"/>
          <w:szCs w:val="24"/>
        </w:rPr>
        <w:sym w:font="Symbol" w:char="F02A"/>
      </w:r>
    </w:p>
    <w:p w14:paraId="2F3F8856" w14:textId="37604847" w:rsidR="00F33EA3" w:rsidRPr="000430DB" w:rsidRDefault="00F95B06" w:rsidP="00F95B06">
      <w:pPr>
        <w:spacing w:line="240" w:lineRule="auto"/>
        <w:rPr>
          <w:rFonts w:ascii="Goudy Old Style" w:hAnsi="Goudy Old Style" w:cs="Times New Roman"/>
          <w:sz w:val="24"/>
          <w:szCs w:val="24"/>
        </w:rPr>
      </w:pPr>
      <w:r w:rsidRPr="000430DB">
        <w:rPr>
          <w:rFonts w:ascii="Goudy Old Style" w:hAnsi="Goudy Old Style" w:cs="Times New Roman"/>
          <w:b/>
          <w:bCs/>
          <w:noProof/>
          <w:sz w:val="24"/>
          <w:szCs w:val="24"/>
        </w:rPr>
        <mc:AlternateContent>
          <mc:Choice Requires="wps">
            <w:drawing>
              <wp:anchor distT="0" distB="0" distL="114300" distR="114300" simplePos="0" relativeHeight="251662336" behindDoc="1" locked="0" layoutInCell="1" allowOverlap="1" wp14:anchorId="52042467" wp14:editId="30502F15">
                <wp:simplePos x="0" y="0"/>
                <wp:positionH relativeFrom="margin">
                  <wp:posOffset>-635</wp:posOffset>
                </wp:positionH>
                <wp:positionV relativeFrom="paragraph">
                  <wp:posOffset>1343660</wp:posOffset>
                </wp:positionV>
                <wp:extent cx="5747385" cy="3649980"/>
                <wp:effectExtent l="0" t="0" r="5715" b="0"/>
                <wp:wrapTight wrapText="bothSides">
                  <wp:wrapPolygon edited="0">
                    <wp:start x="0" y="0"/>
                    <wp:lineTo x="0" y="21495"/>
                    <wp:lineTo x="21574" y="21495"/>
                    <wp:lineTo x="21574"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7385" cy="3649980"/>
                        </a:xfrm>
                        <a:prstGeom prst="rect">
                          <a:avLst/>
                        </a:prstGeom>
                        <a:solidFill>
                          <a:srgbClr val="CDCDCD"/>
                        </a:solidFill>
                        <a:ln w="6350">
                          <a:noFill/>
                        </a:ln>
                      </wps:spPr>
                      <wps:txbx>
                        <w:txbxContent>
                          <w:p w14:paraId="63931F51" w14:textId="77777777" w:rsidR="001F0FF9" w:rsidRPr="000430DB" w:rsidRDefault="001F0FF9" w:rsidP="00871D6C">
                            <w:pPr>
                              <w:spacing w:line="240" w:lineRule="auto"/>
                              <w:ind w:right="567"/>
                              <w:rPr>
                                <w:rFonts w:ascii="PT Serif" w:hAnsi="PT Serif"/>
                                <w:b/>
                                <w:bCs/>
                              </w:rPr>
                            </w:pPr>
                          </w:p>
                          <w:p w14:paraId="09ACF9F3" w14:textId="081B4C4D" w:rsidR="007636DA" w:rsidRPr="000430DB" w:rsidRDefault="007636DA" w:rsidP="000D6183">
                            <w:pPr>
                              <w:spacing w:line="240" w:lineRule="auto"/>
                              <w:ind w:left="567" w:right="567"/>
                              <w:jc w:val="center"/>
                              <w:rPr>
                                <w:rFonts w:ascii="PT Serif" w:hAnsi="PT Serif"/>
                                <w:b/>
                                <w:bCs/>
                              </w:rPr>
                            </w:pPr>
                            <w:r w:rsidRPr="000430DB">
                              <w:rPr>
                                <w:rFonts w:ascii="PT Serif" w:hAnsi="PT Serif"/>
                                <w:b/>
                                <w:bCs/>
                              </w:rPr>
                              <w:t>Resumen</w:t>
                            </w:r>
                          </w:p>
                          <w:p w14:paraId="603B9AEF" w14:textId="2FDDD9A3" w:rsidR="001F0FF9" w:rsidRPr="000430DB" w:rsidRDefault="00844370" w:rsidP="00844370">
                            <w:pPr>
                              <w:spacing w:line="240" w:lineRule="auto"/>
                              <w:ind w:left="567" w:right="567"/>
                              <w:jc w:val="both"/>
                              <w:rPr>
                                <w:rFonts w:ascii="PT Serif" w:hAnsi="PT Serif"/>
                              </w:rPr>
                            </w:pPr>
                            <w:r w:rsidRPr="00844370">
                              <w:rPr>
                                <w:rFonts w:ascii="PT Serif" w:hAnsi="PT Serif"/>
                              </w:rPr>
                              <w:t xml:space="preserve">Este artículo, sustentado en una metodología cualitativa, examina la totalidad de sentencias emitidas por la Corte Interamericana de Derechos Humanos en materia de desaparición forzada </w:t>
                            </w:r>
                            <w:r w:rsidR="00977592">
                              <w:rPr>
                                <w:rFonts w:ascii="PT Serif" w:hAnsi="PT Serif"/>
                              </w:rPr>
                              <w:t>-</w:t>
                            </w:r>
                            <w:r w:rsidRPr="00844370">
                              <w:rPr>
                                <w:rFonts w:ascii="PT Serif" w:hAnsi="PT Serif"/>
                              </w:rPr>
                              <w:t>tanto condenatorias como de supervisión de cumplimiento</w:t>
                            </w:r>
                            <w:r w:rsidR="00977592">
                              <w:rPr>
                                <w:rFonts w:ascii="PT Serif" w:hAnsi="PT Serif"/>
                              </w:rPr>
                              <w:t>-</w:t>
                            </w:r>
                            <w:r w:rsidRPr="00844370">
                              <w:rPr>
                                <w:rFonts w:ascii="PT Serif" w:hAnsi="PT Serif"/>
                              </w:rPr>
                              <w:t>, complementándose con una revisión documental de fuentes doctrinales especializadas. Su objetivo es evaluar la eficacia en la ejecución de dichas resoluciones a través del análisis de las medidas reparatorias ordenadas a los Estados de Perú y México. Asimismo, se abordan los contextos en los que estos crímenes han ocurrido, identificando patrones persistentes de resistencia estatal e indiferencia gubernamental frente a sus obligaciones internacionales. Desde esta perspectiva, se exploran las causas estructurales del incumplimiento y se proponen alternativas que contribuyan a una implementación más efectiva de los compromisos convencionales asumidos, en favor de la justicia y la reparación integral de las víctimas.</w:t>
                            </w:r>
                          </w:p>
                          <w:p w14:paraId="2A153CDD" w14:textId="0BCCB0F2" w:rsidR="001F0FF9" w:rsidRPr="000430DB" w:rsidRDefault="001F0FF9" w:rsidP="00EF2FE1">
                            <w:pPr>
                              <w:spacing w:line="240" w:lineRule="auto"/>
                              <w:ind w:left="567" w:right="567"/>
                              <w:jc w:val="both"/>
                              <w:rPr>
                                <w:rFonts w:ascii="PT Serif" w:hAnsi="PT Serif"/>
                              </w:rPr>
                            </w:pPr>
                          </w:p>
                          <w:p w14:paraId="46ACF267" w14:textId="73DC45FC" w:rsidR="001F0FF9" w:rsidRPr="000430DB" w:rsidRDefault="001F0FF9" w:rsidP="00EF2FE1">
                            <w:pPr>
                              <w:spacing w:line="240" w:lineRule="auto"/>
                              <w:ind w:left="567" w:right="567"/>
                              <w:jc w:val="both"/>
                              <w:rPr>
                                <w:rFonts w:ascii="PT Serif" w:hAnsi="PT Serif"/>
                              </w:rPr>
                            </w:pPr>
                          </w:p>
                          <w:p w14:paraId="6475DC51" w14:textId="77777777" w:rsidR="001F0FF9" w:rsidRPr="000430DB"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05pt;margin-top:105.8pt;width:452.55pt;height:287.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" fillcolor="#cdcdcd" stroked="f" strokeweight=".5pt">
                <v:textbox>
                  <w:txbxContent>
                    <w:p w14:paraId="63931F51" w14:textId="77777777" w:rsidR="001F0FF9" w:rsidRPr="000430DB" w:rsidRDefault="001F0FF9" w:rsidP="00871D6C">
                      <w:pPr>
                        <w:spacing w:line="240" w:lineRule="auto"/>
                        <w:ind w:right="567"/>
                        <w:rPr>
                          <w:rFonts w:ascii="PT Serif" w:hAnsi="PT Serif"/>
                          <w:b/>
                          <w:bCs/>
                        </w:rPr>
                      </w:pPr>
                    </w:p>
                    <w:p w14:paraId="09ACF9F3" w14:textId="081B4C4D" w:rsidR="007636DA" w:rsidRPr="000430DB" w:rsidRDefault="007636DA" w:rsidP="000D6183">
                      <w:pPr>
                        <w:spacing w:line="240" w:lineRule="auto"/>
                        <w:ind w:left="567" w:right="567"/>
                        <w:jc w:val="center"/>
                        <w:rPr>
                          <w:rFonts w:ascii="PT Serif" w:hAnsi="PT Serif"/>
                          <w:b/>
                          <w:bCs/>
                        </w:rPr>
                      </w:pPr>
                      <w:r w:rsidRPr="000430DB">
                        <w:rPr>
                          <w:rFonts w:ascii="PT Serif" w:hAnsi="PT Serif"/>
                          <w:b/>
                          <w:bCs/>
                        </w:rPr>
                        <w:t>Resumen</w:t>
                      </w:r>
                    </w:p>
                    <w:p w14:paraId="603B9AEF" w14:textId="2FDDD9A3" w:rsidR="001F0FF9" w:rsidRPr="000430DB" w:rsidRDefault="00844370" w:rsidP="00844370">
                      <w:pPr>
                        <w:spacing w:line="240" w:lineRule="auto"/>
                        <w:ind w:left="567" w:right="567"/>
                        <w:jc w:val="both"/>
                        <w:rPr>
                          <w:rFonts w:ascii="PT Serif" w:hAnsi="PT Serif"/>
                        </w:rPr>
                      </w:pPr>
                      <w:r w:rsidRPr="00844370">
                        <w:rPr>
                          <w:rFonts w:ascii="PT Serif" w:hAnsi="PT Serif"/>
                        </w:rPr>
                        <w:t xml:space="preserve">Este artículo, sustentado en una metodología cualitativa, examina la totalidad de sentencias emitidas por la Corte Interamericana de Derechos Humanos en materia de desaparición forzada </w:t>
                      </w:r>
                      <w:r w:rsidR="00977592">
                        <w:rPr>
                          <w:rFonts w:ascii="PT Serif" w:hAnsi="PT Serif"/>
                        </w:rPr>
                        <w:t>-</w:t>
                      </w:r>
                      <w:r w:rsidRPr="00844370">
                        <w:rPr>
                          <w:rFonts w:ascii="PT Serif" w:hAnsi="PT Serif"/>
                        </w:rPr>
                        <w:t>tanto condenatorias como de supervisión de cumplimiento</w:t>
                      </w:r>
                      <w:r w:rsidR="00977592">
                        <w:rPr>
                          <w:rFonts w:ascii="PT Serif" w:hAnsi="PT Serif"/>
                        </w:rPr>
                        <w:t>-</w:t>
                      </w:r>
                      <w:r w:rsidRPr="00844370">
                        <w:rPr>
                          <w:rFonts w:ascii="PT Serif" w:hAnsi="PT Serif"/>
                        </w:rPr>
                        <w:t>, complementándose con una revisión documental de fuentes doctrinales especializadas. Su objetivo es evaluar la eficacia en la ejecución de dichas resoluciones a través del análisis de las medidas reparatorias ordenadas a los Estados de Perú y México. Asimismo, se abordan los contextos en los que estos crímenes han ocurrido, identificando patrones persistentes de resistencia estatal e indiferencia gubernamental frente a sus obligaciones internacionales. Desde esta perspectiva, se exploran las causas estructurales del incumplimiento y se proponen alternativas que contribuyan a una implementación más efectiva de los compromisos convencionales asumidos, en favor de la justicia y la reparación integral de las víctimas.</w:t>
                      </w:r>
                    </w:p>
                    <w:p w14:paraId="2A153CDD" w14:textId="0BCCB0F2" w:rsidR="001F0FF9" w:rsidRPr="000430DB" w:rsidRDefault="001F0FF9" w:rsidP="00EF2FE1">
                      <w:pPr>
                        <w:spacing w:line="240" w:lineRule="auto"/>
                        <w:ind w:left="567" w:right="567"/>
                        <w:jc w:val="both"/>
                        <w:rPr>
                          <w:rFonts w:ascii="PT Serif" w:hAnsi="PT Serif"/>
                        </w:rPr>
                      </w:pPr>
                    </w:p>
                    <w:p w14:paraId="46ACF267" w14:textId="73DC45FC" w:rsidR="001F0FF9" w:rsidRPr="000430DB" w:rsidRDefault="001F0FF9" w:rsidP="00EF2FE1">
                      <w:pPr>
                        <w:spacing w:line="240" w:lineRule="auto"/>
                        <w:ind w:left="567" w:right="567"/>
                        <w:jc w:val="both"/>
                        <w:rPr>
                          <w:rFonts w:ascii="PT Serif" w:hAnsi="PT Serif"/>
                        </w:rPr>
                      </w:pPr>
                    </w:p>
                    <w:p w14:paraId="6475DC51" w14:textId="77777777" w:rsidR="001F0FF9" w:rsidRPr="000430DB"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23121D07" w14:textId="7775A1E9" w:rsidR="00A6439F" w:rsidRPr="000430DB" w:rsidRDefault="00AA333B" w:rsidP="00877C6B">
      <w:pPr>
        <w:spacing w:line="360" w:lineRule="auto"/>
        <w:rPr>
          <w:rFonts w:ascii="Goudy Old Style" w:hAnsi="Goudy Old Style" w:cs="Times New Roman"/>
          <w:b/>
          <w:bCs/>
          <w:sz w:val="24"/>
          <w:szCs w:val="24"/>
        </w:rPr>
      </w:pPr>
      <w:r w:rsidRPr="000430DB">
        <w:rPr>
          <w:rFonts w:ascii="Goudy Old Style" w:hAnsi="Goudy Old Style" w:cs="Times New Roman"/>
          <w:b/>
          <w:bCs/>
          <w:noProof/>
          <w:sz w:val="24"/>
          <w:szCs w:val="24"/>
        </w:rPr>
        <w:lastRenderedPageBreak/>
        <mc:AlternateContent>
          <mc:Choice Requires="wps">
            <w:drawing>
              <wp:inline distT="0" distB="0" distL="0" distR="0" wp14:anchorId="6D70EBCF" wp14:editId="291166A4">
                <wp:extent cx="5805170" cy="3927423"/>
                <wp:effectExtent l="0" t="0" r="0" b="0"/>
                <wp:docPr id="43656222" name="Cuadro de texto 4"/>
                <wp:cNvGraphicFramePr/>
                <a:graphic xmlns:a="http://schemas.openxmlformats.org/drawingml/2006/main">
                  <a:graphicData uri="http://schemas.microsoft.com/office/word/2010/wordprocessingShape">
                    <wps:wsp>
                      <wps:cNvSpPr txBox="1"/>
                      <wps:spPr>
                        <a:xfrm>
                          <a:off x="0" y="0"/>
                          <a:ext cx="5805170" cy="3927423"/>
                        </a:xfrm>
                        <a:prstGeom prst="rect">
                          <a:avLst/>
                        </a:prstGeom>
                        <a:solidFill>
                          <a:srgbClr val="CDCDCD"/>
                        </a:solidFill>
                        <a:ln w="6350">
                          <a:noFill/>
                        </a:ln>
                      </wps:spPr>
                      <wps:txbx>
                        <w:txbxContent>
                          <w:p w14:paraId="660B56A8" w14:textId="77777777" w:rsidR="00977592" w:rsidRPr="00977592" w:rsidRDefault="00977592" w:rsidP="00871D6C">
                            <w:pPr>
                              <w:spacing w:line="360" w:lineRule="auto"/>
                              <w:ind w:right="567"/>
                              <w:jc w:val="both"/>
                              <w:rPr>
                                <w:rFonts w:ascii="PT Serif" w:hAnsi="PT Serif" w:cs="Times New Roman"/>
                                <w:b/>
                                <w:bCs/>
                                <w:sz w:val="4"/>
                                <w:szCs w:val="4"/>
                              </w:rPr>
                            </w:pPr>
                          </w:p>
                          <w:p w14:paraId="3AD26D29" w14:textId="77777777" w:rsidR="00EF2FE1" w:rsidRPr="00977592" w:rsidRDefault="00EF2FE1" w:rsidP="00EF2FE1">
                            <w:pPr>
                              <w:spacing w:line="240" w:lineRule="auto"/>
                              <w:ind w:left="567" w:right="567"/>
                              <w:jc w:val="center"/>
                              <w:rPr>
                                <w:rFonts w:ascii="PT Serif" w:hAnsi="PT Serif"/>
                                <w:b/>
                                <w:bCs/>
                                <w:sz w:val="21"/>
                                <w:szCs w:val="21"/>
                                <w:lang w:val="en-US"/>
                              </w:rPr>
                            </w:pPr>
                            <w:r w:rsidRPr="00977592">
                              <w:rPr>
                                <w:rFonts w:ascii="PT Serif" w:hAnsi="PT Serif"/>
                                <w:b/>
                                <w:bCs/>
                                <w:sz w:val="21"/>
                                <w:szCs w:val="21"/>
                                <w:lang w:val="en-US"/>
                              </w:rPr>
                              <w:t>Abstract</w:t>
                            </w:r>
                          </w:p>
                          <w:p w14:paraId="523D886F" w14:textId="739E2B12" w:rsidR="00E076D1" w:rsidRPr="00977592" w:rsidRDefault="00844370" w:rsidP="009D6B48">
                            <w:pPr>
                              <w:spacing w:line="240" w:lineRule="auto"/>
                              <w:ind w:left="567" w:right="567"/>
                              <w:jc w:val="both"/>
                              <w:rPr>
                                <w:rFonts w:ascii="PT Serif" w:hAnsi="PT Serif"/>
                                <w:sz w:val="21"/>
                                <w:szCs w:val="21"/>
                                <w:lang w:val="en-US"/>
                              </w:rPr>
                            </w:pPr>
                            <w:r w:rsidRPr="00977592">
                              <w:rPr>
                                <w:rFonts w:ascii="PT Serif" w:hAnsi="PT Serif"/>
                                <w:sz w:val="21"/>
                                <w:szCs w:val="21"/>
                                <w:lang w:val="en-US"/>
                              </w:rPr>
                              <w:t>This article, based on a qualitative methodology, examines all rulings issued by the Inter-American Court of Human Rights on enforced disappearance—both condemnatory judgments and compliance supervision decisions—complemented by a documentary review of specialized doctrinal sources. Its aim is to assess the effectiveness of the implementation of these rulings by analyzing the reparative measures ordered to the States of Peru and Mexico. It also addresses the contexts in which these crimes have occurred, identifying persistent patterns of state resistance and governmental indifference to international obligations. From this perspective, it explores the structural causes of non-compliance and proposes alternatives to foster a more effective implementation of the conventional commitments undertaken, in pursuit of justice and the comprehensive reparation of victims</w:t>
                            </w:r>
                            <w:r w:rsidR="009D6B48" w:rsidRPr="00977592">
                              <w:rPr>
                                <w:rFonts w:ascii="PT Serif" w:hAnsi="PT Serif"/>
                                <w:sz w:val="21"/>
                                <w:szCs w:val="21"/>
                                <w:lang w:val="en-US"/>
                              </w:rPr>
                              <w:t>.</w:t>
                            </w:r>
                          </w:p>
                          <w:p w14:paraId="2BDDE23E" w14:textId="7E49E950" w:rsidR="0025496D" w:rsidRPr="00977592" w:rsidRDefault="0025496D" w:rsidP="00BF4988">
                            <w:pPr>
                              <w:spacing w:line="360" w:lineRule="auto"/>
                              <w:ind w:left="567" w:right="567"/>
                              <w:jc w:val="both"/>
                              <w:rPr>
                                <w:rFonts w:ascii="PT Serif" w:hAnsi="PT Serif" w:cs="Times New Roman"/>
                                <w:sz w:val="21"/>
                                <w:szCs w:val="21"/>
                              </w:rPr>
                            </w:pPr>
                            <w:r w:rsidRPr="00977592">
                              <w:rPr>
                                <w:rFonts w:ascii="PT Serif" w:hAnsi="PT Serif" w:cs="Times New Roman"/>
                                <w:b/>
                                <w:bCs/>
                                <w:sz w:val="21"/>
                                <w:szCs w:val="21"/>
                              </w:rPr>
                              <w:t xml:space="preserve">Palabras clave: </w:t>
                            </w:r>
                            <w:r w:rsidR="00E076D1" w:rsidRPr="00977592">
                              <w:rPr>
                                <w:rFonts w:ascii="PT Serif" w:hAnsi="PT Serif" w:cs="Times New Roman"/>
                                <w:sz w:val="21"/>
                                <w:szCs w:val="21"/>
                              </w:rPr>
                              <w:t>Desaparición forzada, incumplimiento, medidas reparatorias, sentencias, Estados.</w:t>
                            </w:r>
                          </w:p>
                          <w:p w14:paraId="5DFE25D0" w14:textId="5903F527" w:rsidR="0025496D" w:rsidRPr="00977592" w:rsidRDefault="0025496D" w:rsidP="009D6B48">
                            <w:pPr>
                              <w:spacing w:line="360" w:lineRule="auto"/>
                              <w:ind w:left="567" w:right="567"/>
                              <w:jc w:val="both"/>
                              <w:rPr>
                                <w:rFonts w:ascii="PT Serif" w:hAnsi="PT Serif" w:cs="Times New Roman"/>
                                <w:sz w:val="21"/>
                                <w:szCs w:val="21"/>
                                <w:lang w:val="en-US"/>
                              </w:rPr>
                            </w:pPr>
                            <w:r w:rsidRPr="00977592">
                              <w:rPr>
                                <w:rFonts w:ascii="PT Serif" w:hAnsi="PT Serif" w:cs="Times New Roman"/>
                                <w:b/>
                                <w:bCs/>
                                <w:sz w:val="21"/>
                                <w:szCs w:val="21"/>
                                <w:lang w:val="en-US"/>
                              </w:rPr>
                              <w:t>Keywords</w:t>
                            </w:r>
                            <w:r w:rsidRPr="00977592">
                              <w:rPr>
                                <w:rFonts w:ascii="PT Serif" w:hAnsi="PT Serif" w:cs="Times New Roman"/>
                                <w:sz w:val="21"/>
                                <w:szCs w:val="21"/>
                                <w:lang w:val="en-US"/>
                              </w:rPr>
                              <w:t>:</w:t>
                            </w:r>
                            <w:r w:rsidR="001F0FF9" w:rsidRPr="00977592">
                              <w:rPr>
                                <w:rFonts w:ascii="PT Serif" w:hAnsi="PT Serif" w:cs="Times New Roman"/>
                                <w:sz w:val="21"/>
                                <w:szCs w:val="21"/>
                                <w:lang w:val="en-US"/>
                              </w:rPr>
                              <w:t xml:space="preserve"> </w:t>
                            </w:r>
                            <w:r w:rsidR="00E076D1" w:rsidRPr="00977592">
                              <w:rPr>
                                <w:rFonts w:ascii="PT Serif" w:hAnsi="PT Serif" w:cs="Times New Roman"/>
                                <w:sz w:val="21"/>
                                <w:szCs w:val="21"/>
                                <w:lang w:val="en-US"/>
                              </w:rPr>
                              <w:t>Enforced disappearance, noncompliance, reparatory measures, sentences, States</w:t>
                            </w:r>
                            <w:r w:rsidR="009D6B48" w:rsidRPr="00977592">
                              <w:rPr>
                                <w:rFonts w:ascii="PT Serif" w:hAnsi="PT Serif" w:cs="Times New Roman"/>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70EBCF" id="Cuadro de texto 4" o:spid="_x0000_s1029" type="#_x0000_t202" style="width:457.1pt;height:3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" fillcolor="#cdcdcd" stroked="f" strokeweight=".5pt">
                <v:textbox>
                  <w:txbxContent>
                    <w:p w14:paraId="660B56A8" w14:textId="77777777" w:rsidR="00977592" w:rsidRPr="00977592" w:rsidRDefault="00977592" w:rsidP="00871D6C">
                      <w:pPr>
                        <w:spacing w:line="360" w:lineRule="auto"/>
                        <w:ind w:right="567"/>
                        <w:jc w:val="both"/>
                        <w:rPr>
                          <w:rFonts w:ascii="PT Serif" w:hAnsi="PT Serif" w:cs="Times New Roman"/>
                          <w:b/>
                          <w:bCs/>
                          <w:sz w:val="4"/>
                          <w:szCs w:val="4"/>
                        </w:rPr>
                      </w:pPr>
                    </w:p>
                    <w:p w14:paraId="3AD26D29" w14:textId="77777777" w:rsidR="00EF2FE1" w:rsidRPr="00977592" w:rsidRDefault="00EF2FE1" w:rsidP="00EF2FE1">
                      <w:pPr>
                        <w:spacing w:line="240" w:lineRule="auto"/>
                        <w:ind w:left="567" w:right="567"/>
                        <w:jc w:val="center"/>
                        <w:rPr>
                          <w:rFonts w:ascii="PT Serif" w:hAnsi="PT Serif"/>
                          <w:b/>
                          <w:bCs/>
                          <w:sz w:val="21"/>
                          <w:szCs w:val="21"/>
                          <w:lang w:val="en-US"/>
                        </w:rPr>
                      </w:pPr>
                      <w:r w:rsidRPr="00977592">
                        <w:rPr>
                          <w:rFonts w:ascii="PT Serif" w:hAnsi="PT Serif"/>
                          <w:b/>
                          <w:bCs/>
                          <w:sz w:val="21"/>
                          <w:szCs w:val="21"/>
                          <w:lang w:val="en-US"/>
                        </w:rPr>
                        <w:t>Abstract</w:t>
                      </w:r>
                    </w:p>
                    <w:p w14:paraId="523D886F" w14:textId="739E2B12" w:rsidR="00E076D1" w:rsidRPr="00977592" w:rsidRDefault="00844370" w:rsidP="009D6B48">
                      <w:pPr>
                        <w:spacing w:line="240" w:lineRule="auto"/>
                        <w:ind w:left="567" w:right="567"/>
                        <w:jc w:val="both"/>
                        <w:rPr>
                          <w:rFonts w:ascii="PT Serif" w:hAnsi="PT Serif"/>
                          <w:sz w:val="21"/>
                          <w:szCs w:val="21"/>
                          <w:lang w:val="en-US"/>
                        </w:rPr>
                      </w:pPr>
                      <w:r w:rsidRPr="00977592">
                        <w:rPr>
                          <w:rFonts w:ascii="PT Serif" w:hAnsi="PT Serif"/>
                          <w:sz w:val="21"/>
                          <w:szCs w:val="21"/>
                          <w:lang w:val="en-US"/>
                        </w:rPr>
                        <w:t>This article, based on a qualitative methodology, examines all rulings issued by the Inter-American Court of Human Rights on enforced disappearance—both condemnatory judgments and compliance supervision decisions—complemented by a documentary review of specialized doctrinal sources. Its aim is to assess the effectiveness of the implementation of these rulings by analyzing the reparative measures ordered to the States of Peru and Mexico. It also addresses the contexts in which these crimes have occurred, identifying persistent patterns of state resistance and governmental indifference to international obligations. From this perspective, it explores the structural causes of non-compliance and proposes alternatives to foster a more effective implementation of the conventional commitments undertaken, in pursuit of justice and the comprehensive reparation of victims</w:t>
                      </w:r>
                      <w:r w:rsidR="009D6B48" w:rsidRPr="00977592">
                        <w:rPr>
                          <w:rFonts w:ascii="PT Serif" w:hAnsi="PT Serif"/>
                          <w:sz w:val="21"/>
                          <w:szCs w:val="21"/>
                          <w:lang w:val="en-US"/>
                        </w:rPr>
                        <w:t>.</w:t>
                      </w:r>
                    </w:p>
                    <w:p w14:paraId="2BDDE23E" w14:textId="7E49E950" w:rsidR="0025496D" w:rsidRPr="00977592" w:rsidRDefault="0025496D" w:rsidP="00BF4988">
                      <w:pPr>
                        <w:spacing w:line="360" w:lineRule="auto"/>
                        <w:ind w:left="567" w:right="567"/>
                        <w:jc w:val="both"/>
                        <w:rPr>
                          <w:rFonts w:ascii="PT Serif" w:hAnsi="PT Serif" w:cs="Times New Roman"/>
                          <w:sz w:val="21"/>
                          <w:szCs w:val="21"/>
                        </w:rPr>
                      </w:pPr>
                      <w:r w:rsidRPr="00977592">
                        <w:rPr>
                          <w:rFonts w:ascii="PT Serif" w:hAnsi="PT Serif" w:cs="Times New Roman"/>
                          <w:b/>
                          <w:bCs/>
                          <w:sz w:val="21"/>
                          <w:szCs w:val="21"/>
                        </w:rPr>
                        <w:t xml:space="preserve">Palabras clave: </w:t>
                      </w:r>
                      <w:r w:rsidR="00E076D1" w:rsidRPr="00977592">
                        <w:rPr>
                          <w:rFonts w:ascii="PT Serif" w:hAnsi="PT Serif" w:cs="Times New Roman"/>
                          <w:sz w:val="21"/>
                          <w:szCs w:val="21"/>
                        </w:rPr>
                        <w:t>Desaparición forzada, incumplimiento, medidas reparatorias, sentencias, Estados.</w:t>
                      </w:r>
                    </w:p>
                    <w:p w14:paraId="5DFE25D0" w14:textId="5903F527" w:rsidR="0025496D" w:rsidRPr="00977592" w:rsidRDefault="0025496D" w:rsidP="009D6B48">
                      <w:pPr>
                        <w:spacing w:line="360" w:lineRule="auto"/>
                        <w:ind w:left="567" w:right="567"/>
                        <w:jc w:val="both"/>
                        <w:rPr>
                          <w:rFonts w:ascii="PT Serif" w:hAnsi="PT Serif" w:cs="Times New Roman"/>
                          <w:sz w:val="21"/>
                          <w:szCs w:val="21"/>
                          <w:lang w:val="en-US"/>
                        </w:rPr>
                      </w:pPr>
                      <w:r w:rsidRPr="00977592">
                        <w:rPr>
                          <w:rFonts w:ascii="PT Serif" w:hAnsi="PT Serif" w:cs="Times New Roman"/>
                          <w:b/>
                          <w:bCs/>
                          <w:sz w:val="21"/>
                          <w:szCs w:val="21"/>
                          <w:lang w:val="en-US"/>
                        </w:rPr>
                        <w:t>Keywords</w:t>
                      </w:r>
                      <w:r w:rsidRPr="00977592">
                        <w:rPr>
                          <w:rFonts w:ascii="PT Serif" w:hAnsi="PT Serif" w:cs="Times New Roman"/>
                          <w:sz w:val="21"/>
                          <w:szCs w:val="21"/>
                          <w:lang w:val="en-US"/>
                        </w:rPr>
                        <w:t>:</w:t>
                      </w:r>
                      <w:r w:rsidR="001F0FF9" w:rsidRPr="00977592">
                        <w:rPr>
                          <w:rFonts w:ascii="PT Serif" w:hAnsi="PT Serif" w:cs="Times New Roman"/>
                          <w:sz w:val="21"/>
                          <w:szCs w:val="21"/>
                          <w:lang w:val="en-US"/>
                        </w:rPr>
                        <w:t xml:space="preserve"> </w:t>
                      </w:r>
                      <w:r w:rsidR="00E076D1" w:rsidRPr="00977592">
                        <w:rPr>
                          <w:rFonts w:ascii="PT Serif" w:hAnsi="PT Serif" w:cs="Times New Roman"/>
                          <w:sz w:val="21"/>
                          <w:szCs w:val="21"/>
                          <w:lang w:val="en-US"/>
                        </w:rPr>
                        <w:t>Enforced disappearance, noncompliance, reparatory measures, sentences, States</w:t>
                      </w:r>
                      <w:r w:rsidR="009D6B48" w:rsidRPr="00977592">
                        <w:rPr>
                          <w:rFonts w:ascii="PT Serif" w:hAnsi="PT Serif" w:cs="Times New Roman"/>
                          <w:sz w:val="21"/>
                          <w:szCs w:val="21"/>
                          <w:lang w:val="en-US"/>
                        </w:rPr>
                        <w:t>.</w:t>
                      </w:r>
                    </w:p>
                  </w:txbxContent>
                </v:textbox>
                <w10:anchorlock/>
              </v:shape>
            </w:pict>
          </mc:Fallback>
        </mc:AlternateContent>
      </w:r>
    </w:p>
    <w:p w14:paraId="407F5D90" w14:textId="4B931EC8" w:rsidR="00F95B06" w:rsidRPr="000430DB" w:rsidRDefault="002B0FCA" w:rsidP="00633B76">
      <w:pPr>
        <w:spacing w:line="360" w:lineRule="auto"/>
        <w:jc w:val="center"/>
        <w:rPr>
          <w:rFonts w:ascii="Goudy Old Style" w:hAnsi="Goudy Old Style" w:cs="Times New Roman"/>
          <w:b/>
          <w:bCs/>
          <w:sz w:val="24"/>
          <w:szCs w:val="24"/>
        </w:rPr>
      </w:pPr>
      <w:r w:rsidRPr="000430DB">
        <w:rPr>
          <w:rFonts w:ascii="Goudy Old Style" w:hAnsi="Goudy Old Style" w:cs="Times New Roman"/>
          <w:b/>
          <w:bCs/>
          <w:noProof/>
          <w:sz w:val="24"/>
          <w:szCs w:val="24"/>
        </w:rPr>
        <mc:AlternateContent>
          <mc:Choice Requires="wps">
            <w:drawing>
              <wp:inline distT="0" distB="0" distL="0" distR="0" wp14:anchorId="379DB247" wp14:editId="4411CB35">
                <wp:extent cx="5805170" cy="3507474"/>
                <wp:effectExtent l="0" t="0" r="11430" b="10795"/>
                <wp:docPr id="309035473" name="Rectángulo: esquinas redondeadas 6"/>
                <wp:cNvGraphicFramePr/>
                <a:graphic xmlns:a="http://schemas.openxmlformats.org/drawingml/2006/main">
                  <a:graphicData uri="http://schemas.microsoft.com/office/word/2010/wordprocessingShape">
                    <wps:wsp>
                      <wps:cNvSpPr/>
                      <wps:spPr>
                        <a:xfrm>
                          <a:off x="0" y="0"/>
                          <a:ext cx="5805170" cy="3507474"/>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977592" w:rsidRDefault="002B0FCA" w:rsidP="00633B76">
                            <w:pPr>
                              <w:spacing w:before="100" w:after="100" w:line="276" w:lineRule="auto"/>
                              <w:ind w:left="567" w:right="567"/>
                              <w:jc w:val="center"/>
                              <w:rPr>
                                <w:rFonts w:ascii="PT Serif" w:hAnsi="PT Serif" w:cs="Times New Roman"/>
                                <w:b/>
                                <w:bCs/>
                                <w:sz w:val="21"/>
                                <w:szCs w:val="21"/>
                              </w:rPr>
                            </w:pPr>
                            <w:r w:rsidRPr="00977592">
                              <w:rPr>
                                <w:rFonts w:ascii="PT Serif" w:hAnsi="PT Serif" w:cs="Times New Roman"/>
                                <w:b/>
                                <w:bCs/>
                                <w:sz w:val="21"/>
                                <w:szCs w:val="21"/>
                              </w:rPr>
                              <w:t>Sumario</w:t>
                            </w:r>
                          </w:p>
                          <w:p w14:paraId="75BDF3B5" w14:textId="79AD8FB6" w:rsidR="00E23EF0" w:rsidRPr="00977592" w:rsidRDefault="00E23EF0" w:rsidP="00E23EF0">
                            <w:pPr>
                              <w:spacing w:before="100" w:after="100" w:line="276" w:lineRule="auto"/>
                              <w:ind w:left="567" w:right="567"/>
                              <w:jc w:val="both"/>
                              <w:rPr>
                                <w:rFonts w:ascii="PT Serif" w:hAnsi="PT Serif" w:cs="Times New Roman"/>
                                <w:i/>
                                <w:iCs/>
                                <w:smallCaps/>
                                <w:sz w:val="21"/>
                                <w:szCs w:val="21"/>
                              </w:rPr>
                            </w:pPr>
                            <w:r w:rsidRPr="00977592">
                              <w:rPr>
                                <w:rFonts w:ascii="PT Serif" w:hAnsi="PT Serif" w:cs="Times New Roman"/>
                                <w:b/>
                                <w:bCs/>
                                <w:i/>
                                <w:iCs/>
                                <w:smallCaps/>
                                <w:sz w:val="21"/>
                                <w:szCs w:val="21"/>
                              </w:rPr>
                              <w:t xml:space="preserve">I. INTRODUCCIÓN. II. </w:t>
                            </w:r>
                            <w:r>
                              <w:rPr>
                                <w:rFonts w:ascii="PT Serif" w:hAnsi="PT Serif" w:cs="Times New Roman"/>
                                <w:b/>
                                <w:bCs/>
                                <w:i/>
                                <w:iCs/>
                                <w:smallCaps/>
                                <w:sz w:val="21"/>
                                <w:szCs w:val="21"/>
                              </w:rPr>
                              <w:t xml:space="preserve">METODOLOGÍA EMPLEADA. III. </w:t>
                            </w:r>
                            <w:r w:rsidRPr="00977592">
                              <w:rPr>
                                <w:rFonts w:ascii="PT Serif" w:hAnsi="PT Serif" w:cs="Times New Roman"/>
                                <w:b/>
                                <w:bCs/>
                                <w:i/>
                                <w:iCs/>
                                <w:smallCaps/>
                                <w:sz w:val="21"/>
                                <w:szCs w:val="21"/>
                              </w:rPr>
                              <w:t>EL CONTEXTO DE LA DESAPARICIÓN FORZADA EN PERÚ Y MÉXICO.</w:t>
                            </w:r>
                            <w:r w:rsidRPr="00977592">
                              <w:rPr>
                                <w:rFonts w:ascii="PT Serif" w:hAnsi="PT Serif" w:cs="Times New Roman"/>
                                <w:i/>
                                <w:iCs/>
                                <w:smallCaps/>
                                <w:sz w:val="21"/>
                                <w:szCs w:val="21"/>
                              </w:rPr>
                              <w:t xml:space="preserve"> </w:t>
                            </w:r>
                            <w:r w:rsidRPr="00977592">
                              <w:rPr>
                                <w:rFonts w:ascii="PT Serif" w:hAnsi="PT Serif" w:cs="Times New Roman"/>
                                <w:b/>
                                <w:bCs/>
                                <w:i/>
                                <w:iCs/>
                                <w:smallCaps/>
                                <w:sz w:val="21"/>
                                <w:szCs w:val="21"/>
                              </w:rPr>
                              <w:t>I</w:t>
                            </w:r>
                            <w:r>
                              <w:rPr>
                                <w:rFonts w:ascii="PT Serif" w:hAnsi="PT Serif" w:cs="Times New Roman"/>
                                <w:b/>
                                <w:bCs/>
                                <w:i/>
                                <w:iCs/>
                                <w:smallCaps/>
                                <w:sz w:val="21"/>
                                <w:szCs w:val="21"/>
                              </w:rPr>
                              <w:t>V</w:t>
                            </w:r>
                            <w:r w:rsidRPr="00977592">
                              <w:rPr>
                                <w:rFonts w:ascii="PT Serif" w:hAnsi="PT Serif" w:cs="Times New Roman"/>
                                <w:b/>
                                <w:bCs/>
                                <w:i/>
                                <w:iCs/>
                                <w:smallCaps/>
                                <w:sz w:val="21"/>
                                <w:szCs w:val="21"/>
                              </w:rPr>
                              <w:t>. LAS SENTENCIAS DE LA CORTE CONTRA PERÚ Y MÉXICO EN MATERIA DE DESAPARICIÓN FORZADA.</w:t>
                            </w:r>
                            <w:r w:rsidRPr="00977592">
                              <w:rPr>
                                <w:rFonts w:ascii="PT Serif" w:hAnsi="PT Serif" w:cs="Times New Roman"/>
                                <w:i/>
                                <w:iCs/>
                                <w:smallCaps/>
                                <w:sz w:val="21"/>
                                <w:szCs w:val="21"/>
                              </w:rPr>
                              <w:t xml:space="preserve"> </w:t>
                            </w:r>
                            <w:r w:rsidRPr="00977592">
                              <w:rPr>
                                <w:rFonts w:ascii="PT Serif" w:hAnsi="PT Serif" w:cs="Times New Roman"/>
                                <w:b/>
                                <w:bCs/>
                                <w:i/>
                                <w:iCs/>
                                <w:smallCaps/>
                                <w:sz w:val="21"/>
                                <w:szCs w:val="21"/>
                              </w:rPr>
                              <w:t>V. PROMESAS EN EL VIENTO: LA FRAGILIDAD DEL DERECHO INTERNACIONAL FRENTE A LA DESAPARICIÓN FORZADA</w:t>
                            </w:r>
                            <w:r w:rsidRPr="00977592">
                              <w:rPr>
                                <w:rFonts w:ascii="PT Serif" w:hAnsi="PT Serif" w:cs="Times New Roman"/>
                                <w:i/>
                                <w:iCs/>
                                <w:smallCaps/>
                                <w:sz w:val="21"/>
                                <w:szCs w:val="21"/>
                              </w:rPr>
                              <w:t xml:space="preserve">. 1. LA DESCONEXIÓN ENTRE LA CORTE INTERAMERICANA Y EL ESTADO PERUANO EN LAS REPARACIONES VICTIMALES. 2. IMPUNIDAD Y MILITARIZACIÓN: LA INDIFERENCIA MEXICANA FRENTE A LA JUSTICIA INTERNACIONAL. </w:t>
                            </w:r>
                            <w:r w:rsidRPr="00977592">
                              <w:rPr>
                                <w:rFonts w:ascii="PT Serif" w:hAnsi="PT Serif" w:cs="Times New Roman"/>
                                <w:b/>
                                <w:bCs/>
                                <w:i/>
                                <w:iCs/>
                                <w:smallCaps/>
                                <w:sz w:val="21"/>
                                <w:szCs w:val="21"/>
                              </w:rPr>
                              <w:t>V</w:t>
                            </w:r>
                            <w:r>
                              <w:rPr>
                                <w:rFonts w:ascii="PT Serif" w:hAnsi="PT Serif" w:cs="Times New Roman"/>
                                <w:b/>
                                <w:bCs/>
                                <w:i/>
                                <w:iCs/>
                                <w:smallCaps/>
                                <w:sz w:val="21"/>
                                <w:szCs w:val="21"/>
                              </w:rPr>
                              <w:t>I</w:t>
                            </w:r>
                            <w:r w:rsidRPr="00977592">
                              <w:rPr>
                                <w:rFonts w:ascii="PT Serif" w:hAnsi="PT Serif" w:cs="Times New Roman"/>
                                <w:b/>
                                <w:bCs/>
                                <w:i/>
                                <w:iCs/>
                                <w:smallCaps/>
                                <w:sz w:val="21"/>
                                <w:szCs w:val="21"/>
                              </w:rPr>
                              <w:t xml:space="preserve">. MÁS ALLÁ DE LA NORMA: UNA EXPLICACIÓN TEÓRICA DEL INCUMPLIMIENTO ESTATAL. </w:t>
                            </w:r>
                            <w:r w:rsidRPr="00977592">
                              <w:rPr>
                                <w:rFonts w:ascii="PT Serif" w:hAnsi="PT Serif" w:cs="Times New Roman"/>
                                <w:i/>
                                <w:iCs/>
                                <w:smallCaps/>
                                <w:sz w:val="21"/>
                                <w:szCs w:val="21"/>
                              </w:rPr>
                              <w:t xml:space="preserve">1. LA FRAGMENTACIÓN DEL DERECHO INTERNACIONAL. 2. LA CRISIS DE LA LEGITIMIDAD INTERNACIONAL: SOBERANÍA NACIONAL. </w:t>
                            </w:r>
                            <w:r w:rsidRPr="00977592">
                              <w:rPr>
                                <w:rFonts w:ascii="PT Serif" w:hAnsi="PT Serif" w:cs="Times New Roman"/>
                                <w:b/>
                                <w:bCs/>
                                <w:i/>
                                <w:iCs/>
                                <w:smallCaps/>
                                <w:sz w:val="21"/>
                                <w:szCs w:val="21"/>
                              </w:rPr>
                              <w:t>V</w:t>
                            </w:r>
                            <w:r>
                              <w:rPr>
                                <w:rFonts w:ascii="PT Serif" w:hAnsi="PT Serif" w:cs="Times New Roman"/>
                                <w:b/>
                                <w:bCs/>
                                <w:i/>
                                <w:iCs/>
                                <w:smallCaps/>
                                <w:sz w:val="21"/>
                                <w:szCs w:val="21"/>
                              </w:rPr>
                              <w:t>I</w:t>
                            </w:r>
                            <w:r w:rsidRPr="00977592">
                              <w:rPr>
                                <w:rFonts w:ascii="PT Serif" w:hAnsi="PT Serif" w:cs="Times New Roman"/>
                                <w:b/>
                                <w:bCs/>
                                <w:i/>
                                <w:iCs/>
                                <w:smallCaps/>
                                <w:sz w:val="21"/>
                                <w:szCs w:val="21"/>
                              </w:rPr>
                              <w:t xml:space="preserve">I. ALGUNAS PROPUESTAS DE MEJORA. </w:t>
                            </w:r>
                            <w:r w:rsidRPr="00977592">
                              <w:rPr>
                                <w:rFonts w:ascii="PT Serif" w:hAnsi="PT Serif" w:cs="Times New Roman"/>
                                <w:i/>
                                <w:iCs/>
                                <w:smallCaps/>
                                <w:sz w:val="21"/>
                                <w:szCs w:val="21"/>
                              </w:rPr>
                              <w:t xml:space="preserve">1. MULTA POR DÍA DE INCUMPLIMIENTO. 2. ASOCIACIONES CIVILES/GRUPOS DE TRABAJO. 3. IMPLEMENTACIÓN DE UN CRITERIO ALINEADOR. 4. LEY DE EJECUCIÓN DE SENTENCIAS INTERNACIONALES. </w:t>
                            </w:r>
                            <w:r w:rsidRPr="00977592">
                              <w:rPr>
                                <w:rFonts w:ascii="PT Serif" w:hAnsi="PT Serif" w:cs="Times New Roman"/>
                                <w:b/>
                                <w:bCs/>
                                <w:i/>
                                <w:iCs/>
                                <w:smallCaps/>
                                <w:sz w:val="21"/>
                                <w:szCs w:val="21"/>
                              </w:rPr>
                              <w:t>VI</w:t>
                            </w:r>
                            <w:r>
                              <w:rPr>
                                <w:rFonts w:ascii="PT Serif" w:hAnsi="PT Serif" w:cs="Times New Roman"/>
                                <w:b/>
                                <w:bCs/>
                                <w:i/>
                                <w:iCs/>
                                <w:smallCaps/>
                                <w:sz w:val="21"/>
                                <w:szCs w:val="21"/>
                              </w:rPr>
                              <w:t>I</w:t>
                            </w:r>
                            <w:r w:rsidRPr="00977592">
                              <w:rPr>
                                <w:rFonts w:ascii="PT Serif" w:hAnsi="PT Serif" w:cs="Times New Roman"/>
                                <w:b/>
                                <w:bCs/>
                                <w:i/>
                                <w:iCs/>
                                <w:smallCaps/>
                                <w:sz w:val="21"/>
                                <w:szCs w:val="21"/>
                              </w:rPr>
                              <w:t>I. CONCLUSIONES.</w:t>
                            </w:r>
                            <w:r>
                              <w:rPr>
                                <w:rFonts w:ascii="PT Serif" w:hAnsi="PT Serif" w:cs="Times New Roman"/>
                                <w:b/>
                                <w:bCs/>
                                <w:i/>
                                <w:iCs/>
                                <w:smallCaps/>
                                <w:sz w:val="21"/>
                                <w:szCs w:val="21"/>
                              </w:rPr>
                              <w:t xml:space="preserve"> </w:t>
                            </w:r>
                            <w:r w:rsidRPr="00977592">
                              <w:rPr>
                                <w:rFonts w:ascii="PT Serif" w:hAnsi="PT Serif" w:cs="Times New Roman"/>
                                <w:b/>
                                <w:bCs/>
                                <w:i/>
                                <w:iCs/>
                                <w:smallCaps/>
                                <w:sz w:val="21"/>
                                <w:szCs w:val="21"/>
                              </w:rPr>
                              <w:t>I</w:t>
                            </w:r>
                            <w:r>
                              <w:rPr>
                                <w:rFonts w:ascii="PT Serif" w:hAnsi="PT Serif" w:cs="Times New Roman"/>
                                <w:b/>
                                <w:bCs/>
                                <w:i/>
                                <w:iCs/>
                                <w:smallCaps/>
                                <w:sz w:val="21"/>
                                <w:szCs w:val="21"/>
                              </w:rPr>
                              <w:t>X</w:t>
                            </w:r>
                            <w:r w:rsidRPr="00977592">
                              <w:rPr>
                                <w:rFonts w:ascii="PT Serif" w:hAnsi="PT Serif" w:cs="Times New Roman"/>
                                <w:b/>
                                <w:bCs/>
                                <w:i/>
                                <w:iCs/>
                                <w:smallCaps/>
                                <w:sz w:val="21"/>
                                <w:szCs w:val="21"/>
                              </w:rPr>
                              <w:t>.</w:t>
                            </w:r>
                            <w:r>
                              <w:rPr>
                                <w:rFonts w:ascii="PT Serif" w:hAnsi="PT Serif" w:cs="Times New Roman"/>
                                <w:b/>
                                <w:bCs/>
                                <w:i/>
                                <w:iCs/>
                                <w:smallCaps/>
                                <w:sz w:val="21"/>
                                <w:szCs w:val="21"/>
                              </w:rPr>
                              <w:t xml:space="preserve"> BIBLIOGRAFÍA. </w:t>
                            </w:r>
                          </w:p>
                          <w:p w14:paraId="380F91D3" w14:textId="0ECB3D7A" w:rsidR="002B0FCA" w:rsidRPr="00977592" w:rsidRDefault="002B0FCA" w:rsidP="00E23EF0">
                            <w:pPr>
                              <w:spacing w:before="100" w:after="100" w:line="276" w:lineRule="auto"/>
                              <w:ind w:left="567" w:right="567"/>
                              <w:jc w:val="both"/>
                              <w:rPr>
                                <w:rFonts w:ascii="PT Serif" w:hAnsi="PT Serif" w:cs="Times New Roman"/>
                                <w:i/>
                                <w:iCs/>
                                <w:smallCaps/>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276.2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" fillcolor="white [3201]" strokecolor="#adadad [2414]" strokeweight="1pt">
                <v:stroke joinstyle="miter"/>
                <v:textbox>
                  <w:txbxContent>
                    <w:p w14:paraId="63BC9C94" w14:textId="18520820" w:rsidR="002B0FCA" w:rsidRPr="00977592" w:rsidRDefault="002B0FCA" w:rsidP="00633B76">
                      <w:pPr>
                        <w:spacing w:before="100" w:after="100" w:line="276" w:lineRule="auto"/>
                        <w:ind w:left="567" w:right="567"/>
                        <w:jc w:val="center"/>
                        <w:rPr>
                          <w:rFonts w:ascii="PT Serif" w:hAnsi="PT Serif" w:cs="Times New Roman"/>
                          <w:b/>
                          <w:bCs/>
                          <w:sz w:val="21"/>
                          <w:szCs w:val="21"/>
                        </w:rPr>
                      </w:pPr>
                      <w:r w:rsidRPr="00977592">
                        <w:rPr>
                          <w:rFonts w:ascii="PT Serif" w:hAnsi="PT Serif" w:cs="Times New Roman"/>
                          <w:b/>
                          <w:bCs/>
                          <w:sz w:val="21"/>
                          <w:szCs w:val="21"/>
                        </w:rPr>
                        <w:t>Sumario</w:t>
                      </w:r>
                    </w:p>
                    <w:p w14:paraId="75BDF3B5" w14:textId="79AD8FB6" w:rsidR="00E23EF0" w:rsidRPr="00977592" w:rsidRDefault="00E23EF0" w:rsidP="00E23EF0">
                      <w:pPr>
                        <w:spacing w:before="100" w:after="100" w:line="276" w:lineRule="auto"/>
                        <w:ind w:left="567" w:right="567"/>
                        <w:jc w:val="both"/>
                        <w:rPr>
                          <w:rFonts w:ascii="PT Serif" w:hAnsi="PT Serif" w:cs="Times New Roman"/>
                          <w:i/>
                          <w:iCs/>
                          <w:smallCaps/>
                          <w:sz w:val="21"/>
                          <w:szCs w:val="21"/>
                        </w:rPr>
                      </w:pPr>
                      <w:r w:rsidRPr="00977592">
                        <w:rPr>
                          <w:rFonts w:ascii="PT Serif" w:hAnsi="PT Serif" w:cs="Times New Roman"/>
                          <w:b/>
                          <w:bCs/>
                          <w:i/>
                          <w:iCs/>
                          <w:smallCaps/>
                          <w:sz w:val="21"/>
                          <w:szCs w:val="21"/>
                        </w:rPr>
                        <w:t xml:space="preserve">I. INTRODUCCIÓN. II. </w:t>
                      </w:r>
                      <w:r>
                        <w:rPr>
                          <w:rFonts w:ascii="PT Serif" w:hAnsi="PT Serif" w:cs="Times New Roman"/>
                          <w:b/>
                          <w:bCs/>
                          <w:i/>
                          <w:iCs/>
                          <w:smallCaps/>
                          <w:sz w:val="21"/>
                          <w:szCs w:val="21"/>
                        </w:rPr>
                        <w:t xml:space="preserve">METODOLOGÍA EMPLEADA. III. </w:t>
                      </w:r>
                      <w:r w:rsidRPr="00977592">
                        <w:rPr>
                          <w:rFonts w:ascii="PT Serif" w:hAnsi="PT Serif" w:cs="Times New Roman"/>
                          <w:b/>
                          <w:bCs/>
                          <w:i/>
                          <w:iCs/>
                          <w:smallCaps/>
                          <w:sz w:val="21"/>
                          <w:szCs w:val="21"/>
                        </w:rPr>
                        <w:t>EL CONTEXTO DE LA DESAPARICIÓN FORZADA EN PERÚ Y MÉXICO.</w:t>
                      </w:r>
                      <w:r w:rsidRPr="00977592">
                        <w:rPr>
                          <w:rFonts w:ascii="PT Serif" w:hAnsi="PT Serif" w:cs="Times New Roman"/>
                          <w:i/>
                          <w:iCs/>
                          <w:smallCaps/>
                          <w:sz w:val="21"/>
                          <w:szCs w:val="21"/>
                        </w:rPr>
                        <w:t xml:space="preserve"> </w:t>
                      </w:r>
                      <w:r w:rsidRPr="00977592">
                        <w:rPr>
                          <w:rFonts w:ascii="PT Serif" w:hAnsi="PT Serif" w:cs="Times New Roman"/>
                          <w:b/>
                          <w:bCs/>
                          <w:i/>
                          <w:iCs/>
                          <w:smallCaps/>
                          <w:sz w:val="21"/>
                          <w:szCs w:val="21"/>
                        </w:rPr>
                        <w:t>I</w:t>
                      </w:r>
                      <w:r>
                        <w:rPr>
                          <w:rFonts w:ascii="PT Serif" w:hAnsi="PT Serif" w:cs="Times New Roman"/>
                          <w:b/>
                          <w:bCs/>
                          <w:i/>
                          <w:iCs/>
                          <w:smallCaps/>
                          <w:sz w:val="21"/>
                          <w:szCs w:val="21"/>
                        </w:rPr>
                        <w:t>V</w:t>
                      </w:r>
                      <w:r w:rsidRPr="00977592">
                        <w:rPr>
                          <w:rFonts w:ascii="PT Serif" w:hAnsi="PT Serif" w:cs="Times New Roman"/>
                          <w:b/>
                          <w:bCs/>
                          <w:i/>
                          <w:iCs/>
                          <w:smallCaps/>
                          <w:sz w:val="21"/>
                          <w:szCs w:val="21"/>
                        </w:rPr>
                        <w:t>. LAS SENTENCIAS DE LA CORTE CONTRA PERÚ Y MÉXICO EN MATERIA DE DESAPARICIÓN FORZADA.</w:t>
                      </w:r>
                      <w:r w:rsidRPr="00977592">
                        <w:rPr>
                          <w:rFonts w:ascii="PT Serif" w:hAnsi="PT Serif" w:cs="Times New Roman"/>
                          <w:i/>
                          <w:iCs/>
                          <w:smallCaps/>
                          <w:sz w:val="21"/>
                          <w:szCs w:val="21"/>
                        </w:rPr>
                        <w:t xml:space="preserve"> </w:t>
                      </w:r>
                      <w:r w:rsidRPr="00977592">
                        <w:rPr>
                          <w:rFonts w:ascii="PT Serif" w:hAnsi="PT Serif" w:cs="Times New Roman"/>
                          <w:b/>
                          <w:bCs/>
                          <w:i/>
                          <w:iCs/>
                          <w:smallCaps/>
                          <w:sz w:val="21"/>
                          <w:szCs w:val="21"/>
                        </w:rPr>
                        <w:t>V. PROMESAS EN EL VIENTO: LA FRAGILIDAD DEL DERECHO INTERNACIONAL FRENTE A LA DESAPARICIÓN FORZADA</w:t>
                      </w:r>
                      <w:r w:rsidRPr="00977592">
                        <w:rPr>
                          <w:rFonts w:ascii="PT Serif" w:hAnsi="PT Serif" w:cs="Times New Roman"/>
                          <w:i/>
                          <w:iCs/>
                          <w:smallCaps/>
                          <w:sz w:val="21"/>
                          <w:szCs w:val="21"/>
                        </w:rPr>
                        <w:t xml:space="preserve">. 1. LA DESCONEXIÓN ENTRE LA CORTE INTERAMERICANA Y EL ESTADO PERUANO EN LAS REPARACIONES VICTIMALES. 2. IMPUNIDAD Y MILITARIZACIÓN: LA INDIFERENCIA MEXICANA FRENTE A LA JUSTICIA INTERNACIONAL. </w:t>
                      </w:r>
                      <w:r w:rsidRPr="00977592">
                        <w:rPr>
                          <w:rFonts w:ascii="PT Serif" w:hAnsi="PT Serif" w:cs="Times New Roman"/>
                          <w:b/>
                          <w:bCs/>
                          <w:i/>
                          <w:iCs/>
                          <w:smallCaps/>
                          <w:sz w:val="21"/>
                          <w:szCs w:val="21"/>
                        </w:rPr>
                        <w:t>V</w:t>
                      </w:r>
                      <w:r>
                        <w:rPr>
                          <w:rFonts w:ascii="PT Serif" w:hAnsi="PT Serif" w:cs="Times New Roman"/>
                          <w:b/>
                          <w:bCs/>
                          <w:i/>
                          <w:iCs/>
                          <w:smallCaps/>
                          <w:sz w:val="21"/>
                          <w:szCs w:val="21"/>
                        </w:rPr>
                        <w:t>I</w:t>
                      </w:r>
                      <w:r w:rsidRPr="00977592">
                        <w:rPr>
                          <w:rFonts w:ascii="PT Serif" w:hAnsi="PT Serif" w:cs="Times New Roman"/>
                          <w:b/>
                          <w:bCs/>
                          <w:i/>
                          <w:iCs/>
                          <w:smallCaps/>
                          <w:sz w:val="21"/>
                          <w:szCs w:val="21"/>
                        </w:rPr>
                        <w:t xml:space="preserve">. MÁS ALLÁ DE LA NORMA: UNA EXPLICACIÓN TEÓRICA DEL INCUMPLIMIENTO ESTATAL. </w:t>
                      </w:r>
                      <w:r w:rsidRPr="00977592">
                        <w:rPr>
                          <w:rFonts w:ascii="PT Serif" w:hAnsi="PT Serif" w:cs="Times New Roman"/>
                          <w:i/>
                          <w:iCs/>
                          <w:smallCaps/>
                          <w:sz w:val="21"/>
                          <w:szCs w:val="21"/>
                        </w:rPr>
                        <w:t xml:space="preserve">1. LA FRAGMENTACIÓN DEL DERECHO INTERNACIONAL. 2. LA CRISIS DE LA LEGITIMIDAD INTERNACIONAL: SOBERANÍA NACIONAL. </w:t>
                      </w:r>
                      <w:r w:rsidRPr="00977592">
                        <w:rPr>
                          <w:rFonts w:ascii="PT Serif" w:hAnsi="PT Serif" w:cs="Times New Roman"/>
                          <w:b/>
                          <w:bCs/>
                          <w:i/>
                          <w:iCs/>
                          <w:smallCaps/>
                          <w:sz w:val="21"/>
                          <w:szCs w:val="21"/>
                        </w:rPr>
                        <w:t>V</w:t>
                      </w:r>
                      <w:r>
                        <w:rPr>
                          <w:rFonts w:ascii="PT Serif" w:hAnsi="PT Serif" w:cs="Times New Roman"/>
                          <w:b/>
                          <w:bCs/>
                          <w:i/>
                          <w:iCs/>
                          <w:smallCaps/>
                          <w:sz w:val="21"/>
                          <w:szCs w:val="21"/>
                        </w:rPr>
                        <w:t>I</w:t>
                      </w:r>
                      <w:r w:rsidRPr="00977592">
                        <w:rPr>
                          <w:rFonts w:ascii="PT Serif" w:hAnsi="PT Serif" w:cs="Times New Roman"/>
                          <w:b/>
                          <w:bCs/>
                          <w:i/>
                          <w:iCs/>
                          <w:smallCaps/>
                          <w:sz w:val="21"/>
                          <w:szCs w:val="21"/>
                        </w:rPr>
                        <w:t xml:space="preserve">I. ALGUNAS PROPUESTAS DE MEJORA. </w:t>
                      </w:r>
                      <w:r w:rsidRPr="00977592">
                        <w:rPr>
                          <w:rFonts w:ascii="PT Serif" w:hAnsi="PT Serif" w:cs="Times New Roman"/>
                          <w:i/>
                          <w:iCs/>
                          <w:smallCaps/>
                          <w:sz w:val="21"/>
                          <w:szCs w:val="21"/>
                        </w:rPr>
                        <w:t xml:space="preserve">1. MULTA POR DÍA DE INCUMPLIMIENTO. 2. ASOCIACIONES CIVILES/GRUPOS DE TRABAJO. 3. IMPLEMENTACIÓN DE UN CRITERIO ALINEADOR. 4. LEY DE EJECUCIÓN DE SENTENCIAS INTERNACIONALES. </w:t>
                      </w:r>
                      <w:r w:rsidRPr="00977592">
                        <w:rPr>
                          <w:rFonts w:ascii="PT Serif" w:hAnsi="PT Serif" w:cs="Times New Roman"/>
                          <w:b/>
                          <w:bCs/>
                          <w:i/>
                          <w:iCs/>
                          <w:smallCaps/>
                          <w:sz w:val="21"/>
                          <w:szCs w:val="21"/>
                        </w:rPr>
                        <w:t>VI</w:t>
                      </w:r>
                      <w:r>
                        <w:rPr>
                          <w:rFonts w:ascii="PT Serif" w:hAnsi="PT Serif" w:cs="Times New Roman"/>
                          <w:b/>
                          <w:bCs/>
                          <w:i/>
                          <w:iCs/>
                          <w:smallCaps/>
                          <w:sz w:val="21"/>
                          <w:szCs w:val="21"/>
                        </w:rPr>
                        <w:t>I</w:t>
                      </w:r>
                      <w:r w:rsidRPr="00977592">
                        <w:rPr>
                          <w:rFonts w:ascii="PT Serif" w:hAnsi="PT Serif" w:cs="Times New Roman"/>
                          <w:b/>
                          <w:bCs/>
                          <w:i/>
                          <w:iCs/>
                          <w:smallCaps/>
                          <w:sz w:val="21"/>
                          <w:szCs w:val="21"/>
                        </w:rPr>
                        <w:t>I. CONCLUSIONES.</w:t>
                      </w:r>
                      <w:r>
                        <w:rPr>
                          <w:rFonts w:ascii="PT Serif" w:hAnsi="PT Serif" w:cs="Times New Roman"/>
                          <w:b/>
                          <w:bCs/>
                          <w:i/>
                          <w:iCs/>
                          <w:smallCaps/>
                          <w:sz w:val="21"/>
                          <w:szCs w:val="21"/>
                        </w:rPr>
                        <w:t xml:space="preserve"> </w:t>
                      </w:r>
                      <w:r w:rsidRPr="00977592">
                        <w:rPr>
                          <w:rFonts w:ascii="PT Serif" w:hAnsi="PT Serif" w:cs="Times New Roman"/>
                          <w:b/>
                          <w:bCs/>
                          <w:i/>
                          <w:iCs/>
                          <w:smallCaps/>
                          <w:sz w:val="21"/>
                          <w:szCs w:val="21"/>
                        </w:rPr>
                        <w:t>I</w:t>
                      </w:r>
                      <w:r>
                        <w:rPr>
                          <w:rFonts w:ascii="PT Serif" w:hAnsi="PT Serif" w:cs="Times New Roman"/>
                          <w:b/>
                          <w:bCs/>
                          <w:i/>
                          <w:iCs/>
                          <w:smallCaps/>
                          <w:sz w:val="21"/>
                          <w:szCs w:val="21"/>
                        </w:rPr>
                        <w:t>X</w:t>
                      </w:r>
                      <w:r w:rsidRPr="00977592">
                        <w:rPr>
                          <w:rFonts w:ascii="PT Serif" w:hAnsi="PT Serif" w:cs="Times New Roman"/>
                          <w:b/>
                          <w:bCs/>
                          <w:i/>
                          <w:iCs/>
                          <w:smallCaps/>
                          <w:sz w:val="21"/>
                          <w:szCs w:val="21"/>
                        </w:rPr>
                        <w:t>.</w:t>
                      </w:r>
                      <w:r>
                        <w:rPr>
                          <w:rFonts w:ascii="PT Serif" w:hAnsi="PT Serif" w:cs="Times New Roman"/>
                          <w:b/>
                          <w:bCs/>
                          <w:i/>
                          <w:iCs/>
                          <w:smallCaps/>
                          <w:sz w:val="21"/>
                          <w:szCs w:val="21"/>
                        </w:rPr>
                        <w:t xml:space="preserve"> BIBLIOGRAFÍA. </w:t>
                      </w:r>
                    </w:p>
                    <w:p w14:paraId="380F91D3" w14:textId="0ECB3D7A" w:rsidR="002B0FCA" w:rsidRPr="00977592" w:rsidRDefault="002B0FCA" w:rsidP="00E23EF0">
                      <w:pPr>
                        <w:spacing w:before="100" w:after="100" w:line="276" w:lineRule="auto"/>
                        <w:ind w:left="567" w:right="567"/>
                        <w:jc w:val="both"/>
                        <w:rPr>
                          <w:rFonts w:ascii="PT Serif" w:hAnsi="PT Serif" w:cs="Times New Roman"/>
                          <w:i/>
                          <w:iCs/>
                          <w:smallCaps/>
                          <w:sz w:val="21"/>
                          <w:szCs w:val="21"/>
                        </w:rPr>
                      </w:pPr>
                    </w:p>
                  </w:txbxContent>
                </v:textbox>
                <w10:anchorlock/>
              </v:roundrect>
            </w:pict>
          </mc:Fallback>
        </mc:AlternateContent>
      </w:r>
    </w:p>
    <w:p w14:paraId="12A3619A" w14:textId="1BEB0977" w:rsidR="00BE6CDE" w:rsidRPr="000430DB" w:rsidRDefault="00542561" w:rsidP="007B0ED6">
      <w:pPr>
        <w:pStyle w:val="Prrafodelista"/>
        <w:numPr>
          <w:ilvl w:val="0"/>
          <w:numId w:val="2"/>
        </w:numPr>
        <w:spacing w:line="360" w:lineRule="auto"/>
        <w:ind w:left="1077"/>
        <w:contextualSpacing w:val="0"/>
        <w:jc w:val="both"/>
        <w:rPr>
          <w:rFonts w:ascii="PT Serif" w:hAnsi="PT Serif" w:cs="Times New Roman"/>
          <w:b/>
          <w:bCs/>
          <w:i/>
          <w:iCs/>
          <w:smallCaps/>
          <w:sz w:val="24"/>
          <w:szCs w:val="24"/>
        </w:rPr>
      </w:pPr>
      <w:r w:rsidRPr="000430DB">
        <w:rPr>
          <w:rFonts w:ascii="PT Serif" w:hAnsi="PT Serif" w:cs="Times New Roman"/>
          <w:b/>
          <w:bCs/>
          <w:i/>
          <w:iCs/>
          <w:smallCaps/>
          <w:sz w:val="24"/>
          <w:szCs w:val="24"/>
        </w:rPr>
        <w:lastRenderedPageBreak/>
        <w:t>INTRODUCCIÓN</w:t>
      </w:r>
    </w:p>
    <w:p w14:paraId="147E32AD" w14:textId="0A216CA7" w:rsidR="007661BD" w:rsidRPr="000430DB" w:rsidRDefault="007661BD" w:rsidP="007B0ED6">
      <w:pPr>
        <w:pStyle w:val="Prrafodelista"/>
        <w:spacing w:line="360" w:lineRule="auto"/>
        <w:ind w:left="0" w:firstLine="720"/>
        <w:contextualSpacing w:val="0"/>
        <w:jc w:val="both"/>
        <w:rPr>
          <w:rFonts w:ascii="PT Serif" w:hAnsi="PT Serif" w:cs="Times New Roman"/>
          <w:sz w:val="24"/>
          <w:szCs w:val="24"/>
        </w:rPr>
      </w:pPr>
      <w:bookmarkStart w:id="1" w:name="_Hlk190873468"/>
      <w:bookmarkStart w:id="2" w:name="_Hlk189133967"/>
      <w:bookmarkStart w:id="3" w:name="_Hlk190873435"/>
      <w:r w:rsidRPr="000430DB">
        <w:rPr>
          <w:rFonts w:ascii="PT Serif" w:hAnsi="PT Serif" w:cs="Times New Roman"/>
          <w:sz w:val="24"/>
          <w:szCs w:val="24"/>
        </w:rPr>
        <w:t xml:space="preserve">Angustia e incertidumbre son las palabras que mejor representan el fenómeno caótico de la desaparición forzada. Un delito que, indistintamente cual </w:t>
      </w:r>
      <w:r w:rsidR="00E01A06" w:rsidRPr="000430DB">
        <w:rPr>
          <w:rFonts w:ascii="PT Serif" w:hAnsi="PT Serif" w:cs="Times New Roman"/>
          <w:sz w:val="24"/>
          <w:szCs w:val="24"/>
        </w:rPr>
        <w:t>sea su construcción de tipicidad</w:t>
      </w:r>
      <w:r w:rsidRPr="000430DB">
        <w:rPr>
          <w:rFonts w:ascii="PT Serif" w:hAnsi="PT Serif" w:cs="Times New Roman"/>
          <w:sz w:val="24"/>
          <w:szCs w:val="24"/>
        </w:rPr>
        <w:t xml:space="preserve">, presupone la intervención del Estado en la ausencia y desconocimiento del paradero de una persona, trayendo un conflicto interno entre los habitantes pues quien debería de darles seguridad no ha generado más que miedo por su bienestar. </w:t>
      </w:r>
    </w:p>
    <w:bookmarkEnd w:id="1"/>
    <w:p w14:paraId="6900E3F1" w14:textId="4CA8FEBD" w:rsidR="007661BD" w:rsidRPr="000430DB" w:rsidRDefault="00E01A06" w:rsidP="007B0ED6">
      <w:pPr>
        <w:pStyle w:val="Prrafodelista"/>
        <w:spacing w:line="360" w:lineRule="auto"/>
        <w:ind w:left="0" w:firstLine="720"/>
        <w:contextualSpacing w:val="0"/>
        <w:jc w:val="both"/>
        <w:rPr>
          <w:rFonts w:ascii="PT Serif" w:hAnsi="PT Serif" w:cs="Times New Roman"/>
          <w:sz w:val="24"/>
          <w:szCs w:val="24"/>
        </w:rPr>
      </w:pPr>
      <w:r w:rsidRPr="000430DB">
        <w:rPr>
          <w:rFonts w:ascii="PT Serif" w:hAnsi="PT Serif" w:cs="Times New Roman"/>
          <w:sz w:val="24"/>
          <w:szCs w:val="24"/>
        </w:rPr>
        <w:t>Son numerosas intervenciones que organismos internacionales han tenido respecto a esta problemática y que presumiblemente, la Corte Interamericana de Derechos Humanos (CoIDH) ha sido la que se ha convertido</w:t>
      </w:r>
      <w:r w:rsidR="004F6C57" w:rsidRPr="000430DB">
        <w:rPr>
          <w:rFonts w:ascii="PT Serif" w:hAnsi="PT Serif" w:cs="Times New Roman"/>
          <w:sz w:val="24"/>
          <w:szCs w:val="24"/>
        </w:rPr>
        <w:t>, a través de su jurisprudencia,</w:t>
      </w:r>
      <w:r w:rsidRPr="000430DB">
        <w:rPr>
          <w:rFonts w:ascii="PT Serif" w:hAnsi="PT Serif" w:cs="Times New Roman"/>
          <w:sz w:val="24"/>
          <w:szCs w:val="24"/>
        </w:rPr>
        <w:t xml:space="preserve"> en uno de los “focos” principales que alumbra la habitación apagada por los mismos Estados en donde se hallan familias preocupadas e inciertas sobre </w:t>
      </w:r>
      <w:r w:rsidR="00D73C6D" w:rsidRPr="000430DB">
        <w:rPr>
          <w:rFonts w:ascii="PT Serif" w:hAnsi="PT Serif" w:cs="Times New Roman"/>
          <w:sz w:val="24"/>
          <w:szCs w:val="24"/>
        </w:rPr>
        <w:t xml:space="preserve">la situación de sus hijos, esposos o madres, por mencionar algunos ejemplos. </w:t>
      </w:r>
    </w:p>
    <w:p w14:paraId="5CDF9CA6" w14:textId="64EB6024" w:rsidR="00915A33" w:rsidRPr="000430DB" w:rsidRDefault="004F6C57" w:rsidP="007B0ED6">
      <w:pPr>
        <w:pStyle w:val="Prrafodelista"/>
        <w:spacing w:line="360" w:lineRule="auto"/>
        <w:ind w:left="0" w:firstLine="720"/>
        <w:contextualSpacing w:val="0"/>
        <w:jc w:val="both"/>
        <w:rPr>
          <w:rFonts w:ascii="PT Serif" w:hAnsi="PT Serif" w:cs="Times New Roman"/>
          <w:sz w:val="24"/>
          <w:szCs w:val="24"/>
        </w:rPr>
      </w:pPr>
      <w:r w:rsidRPr="000430DB">
        <w:rPr>
          <w:rFonts w:ascii="PT Serif" w:hAnsi="PT Serif" w:cs="Times New Roman"/>
          <w:sz w:val="24"/>
          <w:szCs w:val="24"/>
        </w:rPr>
        <w:t xml:space="preserve">Si bien la desaparición forzada no es un problema aislado, su impacto es especialmente significativo en ciertos países de la región americana, </w:t>
      </w:r>
      <w:r w:rsidR="008317CC" w:rsidRPr="000430DB">
        <w:rPr>
          <w:rFonts w:ascii="PT Serif" w:hAnsi="PT Serif" w:cs="Times New Roman"/>
          <w:sz w:val="24"/>
          <w:szCs w:val="24"/>
        </w:rPr>
        <w:t>tales como lo son</w:t>
      </w:r>
      <w:r w:rsidR="00915A33" w:rsidRPr="000430DB">
        <w:rPr>
          <w:rFonts w:ascii="PT Serif" w:hAnsi="PT Serif" w:cs="Times New Roman"/>
          <w:sz w:val="24"/>
          <w:szCs w:val="24"/>
        </w:rPr>
        <w:t xml:space="preserve"> </w:t>
      </w:r>
      <w:r w:rsidR="007F4E5B">
        <w:rPr>
          <w:rFonts w:ascii="PT Serif" w:hAnsi="PT Serif" w:cs="Times New Roman"/>
          <w:sz w:val="24"/>
          <w:szCs w:val="24"/>
        </w:rPr>
        <w:t>Perú y México</w:t>
      </w:r>
      <w:r w:rsidRPr="000430DB">
        <w:rPr>
          <w:rFonts w:ascii="PT Serif" w:hAnsi="PT Serif" w:cs="Times New Roman"/>
          <w:sz w:val="24"/>
          <w:szCs w:val="24"/>
        </w:rPr>
        <w:t>. Esta relevancia</w:t>
      </w:r>
      <w:r w:rsidR="00915A33" w:rsidRPr="000430DB">
        <w:rPr>
          <w:rFonts w:ascii="PT Serif" w:hAnsi="PT Serif" w:cs="Times New Roman"/>
          <w:sz w:val="24"/>
          <w:szCs w:val="24"/>
        </w:rPr>
        <w:t xml:space="preserve"> no solamente se debe </w:t>
      </w:r>
      <w:r w:rsidR="003F1FB1" w:rsidRPr="000430DB">
        <w:rPr>
          <w:rFonts w:ascii="PT Serif" w:hAnsi="PT Serif" w:cs="Times New Roman"/>
          <w:sz w:val="24"/>
          <w:szCs w:val="24"/>
        </w:rPr>
        <w:t xml:space="preserve">a </w:t>
      </w:r>
      <w:r w:rsidR="00915A33" w:rsidRPr="000430DB">
        <w:rPr>
          <w:rFonts w:ascii="PT Serif" w:hAnsi="PT Serif" w:cs="Times New Roman"/>
          <w:sz w:val="24"/>
          <w:szCs w:val="24"/>
        </w:rPr>
        <w:t xml:space="preserve">la existencia de fallos emblemáticos de la CoIDH contra los mencionados, sino que </w:t>
      </w:r>
      <w:r w:rsidR="008317CC" w:rsidRPr="000430DB">
        <w:rPr>
          <w:rFonts w:ascii="PT Serif" w:hAnsi="PT Serif" w:cs="Times New Roman"/>
          <w:sz w:val="24"/>
          <w:szCs w:val="24"/>
        </w:rPr>
        <w:t xml:space="preserve">también </w:t>
      </w:r>
      <w:r w:rsidR="003F1FB1" w:rsidRPr="000430DB">
        <w:rPr>
          <w:rFonts w:ascii="PT Serif" w:hAnsi="PT Serif" w:cs="Times New Roman"/>
          <w:sz w:val="24"/>
          <w:szCs w:val="24"/>
        </w:rPr>
        <w:t>guarda</w:t>
      </w:r>
      <w:r w:rsidR="00915A33" w:rsidRPr="000430DB">
        <w:rPr>
          <w:rFonts w:ascii="PT Serif" w:hAnsi="PT Serif" w:cs="Times New Roman"/>
          <w:sz w:val="24"/>
          <w:szCs w:val="24"/>
        </w:rPr>
        <w:t xml:space="preserve"> trascenden</w:t>
      </w:r>
      <w:r w:rsidR="003F1FB1" w:rsidRPr="000430DB">
        <w:rPr>
          <w:rFonts w:ascii="PT Serif" w:hAnsi="PT Serif" w:cs="Times New Roman"/>
          <w:sz w:val="24"/>
          <w:szCs w:val="24"/>
        </w:rPr>
        <w:t>cia porque ambos</w:t>
      </w:r>
      <w:r w:rsidR="00915A33" w:rsidRPr="000430DB">
        <w:rPr>
          <w:rFonts w:ascii="PT Serif" w:hAnsi="PT Serif" w:cs="Times New Roman"/>
          <w:sz w:val="24"/>
          <w:szCs w:val="24"/>
        </w:rPr>
        <w:t xml:space="preserve"> han enfrentado este fenómeno de manera sistemática, aunque en contextos distintos: Perú, vinculado a </w:t>
      </w:r>
      <w:r w:rsidR="003F7A54" w:rsidRPr="000430DB">
        <w:rPr>
          <w:rFonts w:ascii="PT Serif" w:hAnsi="PT Serif" w:cs="Times New Roman"/>
          <w:sz w:val="24"/>
          <w:szCs w:val="24"/>
        </w:rPr>
        <w:t>una</w:t>
      </w:r>
      <w:r w:rsidR="00915A33" w:rsidRPr="000430DB">
        <w:rPr>
          <w:rFonts w:ascii="PT Serif" w:hAnsi="PT Serif" w:cs="Times New Roman"/>
          <w:sz w:val="24"/>
          <w:szCs w:val="24"/>
        </w:rPr>
        <w:t xml:space="preserve"> violencia política interna </w:t>
      </w:r>
      <w:r w:rsidR="003F7A54" w:rsidRPr="000430DB">
        <w:rPr>
          <w:rFonts w:ascii="PT Serif" w:hAnsi="PT Serif" w:cs="Times New Roman"/>
          <w:sz w:val="24"/>
          <w:szCs w:val="24"/>
        </w:rPr>
        <w:t>ocasionada por</w:t>
      </w:r>
      <w:r w:rsidR="00915A33" w:rsidRPr="000430DB">
        <w:rPr>
          <w:rFonts w:ascii="PT Serif" w:hAnsi="PT Serif" w:cs="Times New Roman"/>
          <w:sz w:val="24"/>
          <w:szCs w:val="24"/>
        </w:rPr>
        <w:t xml:space="preserve"> el conflicto </w:t>
      </w:r>
      <w:r w:rsidR="00410ABC" w:rsidRPr="000430DB">
        <w:rPr>
          <w:rFonts w:ascii="PT Serif" w:hAnsi="PT Serif" w:cs="Times New Roman"/>
          <w:sz w:val="24"/>
          <w:szCs w:val="24"/>
        </w:rPr>
        <w:t>armado encabezado</w:t>
      </w:r>
      <w:r w:rsidR="00915A33" w:rsidRPr="000430DB">
        <w:rPr>
          <w:rFonts w:ascii="PT Serif" w:hAnsi="PT Serif" w:cs="Times New Roman"/>
          <w:sz w:val="24"/>
          <w:szCs w:val="24"/>
        </w:rPr>
        <w:t xml:space="preserve"> </w:t>
      </w:r>
      <w:r w:rsidR="001673CE">
        <w:rPr>
          <w:rFonts w:ascii="PT Serif" w:hAnsi="PT Serif" w:cs="Times New Roman"/>
          <w:sz w:val="24"/>
          <w:szCs w:val="24"/>
        </w:rPr>
        <w:t xml:space="preserve">por </w:t>
      </w:r>
      <w:r w:rsidR="00915A33" w:rsidRPr="000430DB">
        <w:rPr>
          <w:rFonts w:ascii="PT Serif" w:hAnsi="PT Serif" w:cs="Times New Roman"/>
          <w:sz w:val="24"/>
          <w:szCs w:val="24"/>
        </w:rPr>
        <w:t>grupos insurgentes durante las décadas de 1980 y 1990; y México, asociado principalmente a la lucha contra el crimen organizado y las estrategias de seguridad implementadas en el siglo XXI.</w:t>
      </w:r>
    </w:p>
    <w:p w14:paraId="0344AD0E" w14:textId="297A5753" w:rsidR="003F1FB1" w:rsidRPr="000430DB" w:rsidRDefault="00915A33" w:rsidP="007B0ED6">
      <w:pPr>
        <w:pStyle w:val="Prrafodelista"/>
        <w:spacing w:line="360" w:lineRule="auto"/>
        <w:ind w:left="0" w:firstLine="720"/>
        <w:contextualSpacing w:val="0"/>
        <w:jc w:val="both"/>
        <w:rPr>
          <w:rFonts w:ascii="PT Serif" w:hAnsi="PT Serif" w:cs="Times New Roman"/>
          <w:sz w:val="24"/>
          <w:szCs w:val="24"/>
        </w:rPr>
      </w:pPr>
      <w:r w:rsidRPr="000430DB">
        <w:rPr>
          <w:rFonts w:ascii="PT Serif" w:hAnsi="PT Serif" w:cs="Times New Roman"/>
          <w:sz w:val="24"/>
          <w:szCs w:val="24"/>
        </w:rPr>
        <w:t>Derivado de lo anterior, llevar un estudio</w:t>
      </w:r>
      <w:r w:rsidR="003F1FB1" w:rsidRPr="000430DB">
        <w:rPr>
          <w:rFonts w:ascii="PT Serif" w:hAnsi="PT Serif" w:cs="Times New Roman"/>
          <w:sz w:val="24"/>
          <w:szCs w:val="24"/>
        </w:rPr>
        <w:t xml:space="preserve"> </w:t>
      </w:r>
      <w:r w:rsidR="00B41F8E">
        <w:rPr>
          <w:rFonts w:ascii="PT Serif" w:hAnsi="PT Serif" w:cs="Times New Roman"/>
          <w:sz w:val="24"/>
          <w:szCs w:val="24"/>
        </w:rPr>
        <w:t>comparativo</w:t>
      </w:r>
      <w:r w:rsidRPr="000430DB">
        <w:rPr>
          <w:rFonts w:ascii="PT Serif" w:hAnsi="PT Serif" w:cs="Times New Roman"/>
          <w:sz w:val="24"/>
          <w:szCs w:val="24"/>
        </w:rPr>
        <w:t xml:space="preserve"> que desarrolle la incidencia de las sentencias de la CoIDH en factores </w:t>
      </w:r>
      <w:r w:rsidR="003F1FB1" w:rsidRPr="000430DB">
        <w:rPr>
          <w:rFonts w:ascii="PT Serif" w:hAnsi="PT Serif" w:cs="Times New Roman"/>
          <w:sz w:val="24"/>
          <w:szCs w:val="24"/>
        </w:rPr>
        <w:t xml:space="preserve">relacionados a los desafíos normativos, </w:t>
      </w:r>
      <w:r w:rsidR="004D6DA3" w:rsidRPr="000430DB">
        <w:rPr>
          <w:rFonts w:ascii="PT Serif" w:hAnsi="PT Serif" w:cs="Times New Roman"/>
          <w:sz w:val="24"/>
          <w:szCs w:val="24"/>
        </w:rPr>
        <w:t xml:space="preserve">la </w:t>
      </w:r>
      <w:r w:rsidR="003F1FB1" w:rsidRPr="000430DB">
        <w:rPr>
          <w:rFonts w:ascii="PT Serif" w:hAnsi="PT Serif" w:cs="Times New Roman"/>
          <w:sz w:val="24"/>
          <w:szCs w:val="24"/>
        </w:rPr>
        <w:t xml:space="preserve">justicia trasnacional y </w:t>
      </w:r>
      <w:r w:rsidR="004D6DA3" w:rsidRPr="000430DB">
        <w:rPr>
          <w:rFonts w:ascii="PT Serif" w:hAnsi="PT Serif" w:cs="Times New Roman"/>
          <w:sz w:val="24"/>
          <w:szCs w:val="24"/>
        </w:rPr>
        <w:t xml:space="preserve">la </w:t>
      </w:r>
      <w:r w:rsidR="003F1FB1" w:rsidRPr="000430DB">
        <w:rPr>
          <w:rFonts w:ascii="PT Serif" w:hAnsi="PT Serif" w:cs="Times New Roman"/>
          <w:sz w:val="24"/>
          <w:szCs w:val="24"/>
        </w:rPr>
        <w:t>responsabilidad estatal</w:t>
      </w:r>
      <w:r w:rsidRPr="000430DB">
        <w:rPr>
          <w:rFonts w:ascii="PT Serif" w:hAnsi="PT Serif" w:cs="Times New Roman"/>
          <w:sz w:val="24"/>
          <w:szCs w:val="24"/>
        </w:rPr>
        <w:t xml:space="preserve">, </w:t>
      </w:r>
      <w:r w:rsidR="003F1FB1" w:rsidRPr="000430DB">
        <w:rPr>
          <w:rFonts w:ascii="PT Serif" w:hAnsi="PT Serif" w:cs="Times New Roman"/>
          <w:sz w:val="24"/>
          <w:szCs w:val="24"/>
        </w:rPr>
        <w:t xml:space="preserve">podría contribuir </w:t>
      </w:r>
      <w:r w:rsidR="005240B7">
        <w:rPr>
          <w:rFonts w:ascii="PT Serif" w:hAnsi="PT Serif" w:cs="Times New Roman"/>
          <w:sz w:val="24"/>
          <w:szCs w:val="24"/>
        </w:rPr>
        <w:t>a</w:t>
      </w:r>
      <w:r w:rsidR="003F1FB1" w:rsidRPr="000430DB">
        <w:rPr>
          <w:rFonts w:ascii="PT Serif" w:hAnsi="PT Serif" w:cs="Times New Roman"/>
          <w:sz w:val="24"/>
          <w:szCs w:val="24"/>
        </w:rPr>
        <w:t xml:space="preserve"> </w:t>
      </w:r>
      <w:r w:rsidR="002D3F17" w:rsidRPr="000430DB">
        <w:rPr>
          <w:rFonts w:ascii="PT Serif" w:hAnsi="PT Serif" w:cs="Times New Roman"/>
          <w:sz w:val="24"/>
          <w:szCs w:val="24"/>
        </w:rPr>
        <w:lastRenderedPageBreak/>
        <w:t>identificar los estándares interamericanos en la materia y analizar el grado de cumplimiento de cada Estado en la implementación de medidas de reparación, prevención y no repetición,</w:t>
      </w:r>
      <w:r w:rsidR="003F1FB1" w:rsidRPr="000430DB">
        <w:rPr>
          <w:rFonts w:ascii="PT Serif" w:hAnsi="PT Serif" w:cs="Times New Roman"/>
          <w:sz w:val="24"/>
          <w:szCs w:val="24"/>
        </w:rPr>
        <w:t xml:space="preserve"> así como en el fomento del desarrollo de un marco común en la lucha contra la desaparición forzada y el fortalecimiento del rol del sistema interamericano como mecanismo de protección de derechos humanos</w:t>
      </w:r>
      <w:r w:rsidR="00410ABC" w:rsidRPr="000430DB">
        <w:rPr>
          <w:rFonts w:ascii="PT Serif" w:hAnsi="PT Serif" w:cs="Times New Roman"/>
          <w:sz w:val="24"/>
          <w:szCs w:val="24"/>
        </w:rPr>
        <w:t>.</w:t>
      </w:r>
    </w:p>
    <w:p w14:paraId="4A75E873" w14:textId="0BF7B9C5" w:rsidR="00B939ED" w:rsidRPr="00363B5C" w:rsidRDefault="004D6DA3" w:rsidP="007B0ED6">
      <w:pPr>
        <w:pStyle w:val="Prrafodelista"/>
        <w:spacing w:line="360" w:lineRule="auto"/>
        <w:ind w:left="0" w:firstLine="720"/>
        <w:contextualSpacing w:val="0"/>
        <w:jc w:val="both"/>
        <w:rPr>
          <w:rFonts w:ascii="PT Serif" w:hAnsi="PT Serif" w:cs="Times New Roman"/>
          <w:sz w:val="24"/>
          <w:szCs w:val="24"/>
        </w:rPr>
      </w:pPr>
      <w:r w:rsidRPr="000430DB">
        <w:rPr>
          <w:rFonts w:ascii="PT Serif" w:hAnsi="PT Serif" w:cs="Times New Roman"/>
          <w:sz w:val="24"/>
          <w:szCs w:val="24"/>
        </w:rPr>
        <w:t>De tal manera, la</w:t>
      </w:r>
      <w:r w:rsidR="00752176" w:rsidRPr="000430DB">
        <w:rPr>
          <w:rFonts w:ascii="PT Serif" w:hAnsi="PT Serif" w:cs="Times New Roman"/>
          <w:sz w:val="24"/>
          <w:szCs w:val="24"/>
        </w:rPr>
        <w:t>s</w:t>
      </w:r>
      <w:r w:rsidRPr="000430DB">
        <w:rPr>
          <w:rFonts w:ascii="PT Serif" w:hAnsi="PT Serif" w:cs="Times New Roman"/>
          <w:sz w:val="24"/>
          <w:szCs w:val="24"/>
        </w:rPr>
        <w:t xml:space="preserve"> pregunta</w:t>
      </w:r>
      <w:r w:rsidR="005C264C" w:rsidRPr="000430DB">
        <w:rPr>
          <w:rFonts w:ascii="PT Serif" w:hAnsi="PT Serif" w:cs="Times New Roman"/>
          <w:sz w:val="24"/>
          <w:szCs w:val="24"/>
        </w:rPr>
        <w:t xml:space="preserve">s </w:t>
      </w:r>
      <w:r w:rsidRPr="000430DB">
        <w:rPr>
          <w:rFonts w:ascii="PT Serif" w:hAnsi="PT Serif" w:cs="Times New Roman"/>
          <w:sz w:val="24"/>
          <w:szCs w:val="24"/>
        </w:rPr>
        <w:t>clave</w:t>
      </w:r>
      <w:r w:rsidR="005C264C" w:rsidRPr="000430DB">
        <w:rPr>
          <w:rFonts w:ascii="PT Serif" w:hAnsi="PT Serif" w:cs="Times New Roman"/>
          <w:sz w:val="24"/>
          <w:szCs w:val="24"/>
        </w:rPr>
        <w:t>s</w:t>
      </w:r>
      <w:r w:rsidRPr="000430DB">
        <w:rPr>
          <w:rFonts w:ascii="PT Serif" w:hAnsi="PT Serif" w:cs="Times New Roman"/>
          <w:sz w:val="24"/>
          <w:szCs w:val="24"/>
        </w:rPr>
        <w:t xml:space="preserve"> que guía</w:t>
      </w:r>
      <w:r w:rsidR="009A0B2C" w:rsidRPr="000430DB">
        <w:rPr>
          <w:rFonts w:ascii="PT Serif" w:hAnsi="PT Serif" w:cs="Times New Roman"/>
          <w:sz w:val="24"/>
          <w:szCs w:val="24"/>
        </w:rPr>
        <w:t>n</w:t>
      </w:r>
      <w:r w:rsidRPr="000430DB">
        <w:rPr>
          <w:rFonts w:ascii="PT Serif" w:hAnsi="PT Serif" w:cs="Times New Roman"/>
          <w:sz w:val="24"/>
          <w:szCs w:val="24"/>
        </w:rPr>
        <w:t xml:space="preserve"> el desarrollo de</w:t>
      </w:r>
      <w:r w:rsidR="00B41F8E">
        <w:rPr>
          <w:rFonts w:ascii="PT Serif" w:hAnsi="PT Serif" w:cs="Times New Roman"/>
          <w:sz w:val="24"/>
          <w:szCs w:val="24"/>
        </w:rPr>
        <w:t xml:space="preserve"> la </w:t>
      </w:r>
      <w:r w:rsidRPr="000430DB">
        <w:rPr>
          <w:rFonts w:ascii="PT Serif" w:hAnsi="PT Serif" w:cs="Times New Roman"/>
          <w:sz w:val="24"/>
          <w:szCs w:val="24"/>
        </w:rPr>
        <w:t xml:space="preserve">presente </w:t>
      </w:r>
      <w:r w:rsidR="00B41F8E">
        <w:rPr>
          <w:rFonts w:ascii="PT Serif" w:hAnsi="PT Serif" w:cs="Times New Roman"/>
          <w:sz w:val="24"/>
          <w:szCs w:val="24"/>
        </w:rPr>
        <w:t>investigación</w:t>
      </w:r>
      <w:r w:rsidRPr="000430DB">
        <w:rPr>
          <w:rFonts w:ascii="PT Serif" w:hAnsi="PT Serif" w:cs="Times New Roman"/>
          <w:sz w:val="24"/>
          <w:szCs w:val="24"/>
        </w:rPr>
        <w:t xml:space="preserve"> sería</w:t>
      </w:r>
      <w:r w:rsidR="005C264C" w:rsidRPr="000430DB">
        <w:rPr>
          <w:rFonts w:ascii="PT Serif" w:hAnsi="PT Serif" w:cs="Times New Roman"/>
          <w:sz w:val="24"/>
          <w:szCs w:val="24"/>
        </w:rPr>
        <w:t>n</w:t>
      </w:r>
      <w:r w:rsidRPr="000430DB">
        <w:rPr>
          <w:rFonts w:ascii="PT Serif" w:hAnsi="PT Serif" w:cs="Times New Roman"/>
          <w:sz w:val="24"/>
          <w:szCs w:val="24"/>
        </w:rPr>
        <w:t xml:space="preserve">: </w:t>
      </w:r>
      <w:r w:rsidR="00446FF4" w:rsidRPr="00363B5C">
        <w:rPr>
          <w:rFonts w:ascii="PT Serif" w:hAnsi="PT Serif" w:cs="Times New Roman"/>
          <w:sz w:val="24"/>
          <w:szCs w:val="24"/>
        </w:rPr>
        <w:t xml:space="preserve">¿En qué medida han cumplido </w:t>
      </w:r>
      <w:r w:rsidR="007F4E5B" w:rsidRPr="00363B5C">
        <w:rPr>
          <w:rFonts w:ascii="PT Serif" w:hAnsi="PT Serif" w:cs="Times New Roman"/>
          <w:sz w:val="24"/>
          <w:szCs w:val="24"/>
        </w:rPr>
        <w:t>Perú y México</w:t>
      </w:r>
      <w:r w:rsidR="00446FF4" w:rsidRPr="00363B5C">
        <w:rPr>
          <w:rFonts w:ascii="PT Serif" w:hAnsi="PT Serif" w:cs="Times New Roman"/>
          <w:sz w:val="24"/>
          <w:szCs w:val="24"/>
        </w:rPr>
        <w:t xml:space="preserve"> con las sentencias de la CoIDH en materia de desaparición forzada</w:t>
      </w:r>
      <w:r w:rsidR="005C264C" w:rsidRPr="00363B5C">
        <w:rPr>
          <w:rFonts w:ascii="PT Serif" w:hAnsi="PT Serif" w:cs="Times New Roman"/>
          <w:sz w:val="24"/>
          <w:szCs w:val="24"/>
        </w:rPr>
        <w:t xml:space="preserve">?, y ante </w:t>
      </w:r>
      <w:r w:rsidR="00123E55" w:rsidRPr="00363B5C">
        <w:rPr>
          <w:rFonts w:ascii="PT Serif" w:hAnsi="PT Serif" w:cs="Times New Roman"/>
          <w:sz w:val="24"/>
          <w:szCs w:val="24"/>
        </w:rPr>
        <w:t>el</w:t>
      </w:r>
      <w:r w:rsidR="005C264C" w:rsidRPr="00363B5C">
        <w:rPr>
          <w:rFonts w:ascii="PT Serif" w:hAnsi="PT Serif" w:cs="Times New Roman"/>
          <w:sz w:val="24"/>
          <w:szCs w:val="24"/>
        </w:rPr>
        <w:t xml:space="preserve"> eventual </w:t>
      </w:r>
      <w:r w:rsidR="00123E55" w:rsidRPr="00363B5C">
        <w:rPr>
          <w:rFonts w:ascii="PT Serif" w:hAnsi="PT Serif" w:cs="Times New Roman"/>
          <w:sz w:val="24"/>
          <w:szCs w:val="24"/>
        </w:rPr>
        <w:t xml:space="preserve">y </w:t>
      </w:r>
      <w:r w:rsidR="008921CD" w:rsidRPr="00363B5C">
        <w:rPr>
          <w:rFonts w:ascii="PT Serif" w:hAnsi="PT Serif" w:cs="Times New Roman"/>
          <w:sz w:val="24"/>
          <w:szCs w:val="24"/>
        </w:rPr>
        <w:t>previsible</w:t>
      </w:r>
      <w:r w:rsidR="00123E55" w:rsidRPr="00363B5C">
        <w:rPr>
          <w:rFonts w:ascii="PT Serif" w:hAnsi="PT Serif" w:cs="Times New Roman"/>
          <w:sz w:val="24"/>
          <w:szCs w:val="24"/>
        </w:rPr>
        <w:t xml:space="preserve"> </w:t>
      </w:r>
      <w:r w:rsidR="005C264C" w:rsidRPr="00363B5C">
        <w:rPr>
          <w:rFonts w:ascii="PT Serif" w:hAnsi="PT Serif" w:cs="Times New Roman"/>
          <w:sz w:val="24"/>
          <w:szCs w:val="24"/>
        </w:rPr>
        <w:t xml:space="preserve">hallazgo de </w:t>
      </w:r>
      <w:r w:rsidR="009A0B2C" w:rsidRPr="00363B5C">
        <w:rPr>
          <w:rFonts w:ascii="PT Serif" w:hAnsi="PT Serif" w:cs="Times New Roman"/>
          <w:sz w:val="24"/>
          <w:szCs w:val="24"/>
        </w:rPr>
        <w:t>desobedecimiento internacional</w:t>
      </w:r>
      <w:r w:rsidR="005C264C" w:rsidRPr="00363B5C">
        <w:rPr>
          <w:rFonts w:ascii="PT Serif" w:hAnsi="PT Serif" w:cs="Times New Roman"/>
          <w:sz w:val="24"/>
          <w:szCs w:val="24"/>
        </w:rPr>
        <w:t>, ¿</w:t>
      </w:r>
      <w:r w:rsidR="009A0B2C" w:rsidRPr="00363B5C">
        <w:rPr>
          <w:rFonts w:ascii="PT Serif" w:hAnsi="PT Serif" w:cs="Times New Roman"/>
          <w:sz w:val="24"/>
          <w:szCs w:val="24"/>
        </w:rPr>
        <w:t xml:space="preserve">cómo se ha dado dicho incumplimiento, </w:t>
      </w:r>
      <w:r w:rsidR="005C264C" w:rsidRPr="00363B5C">
        <w:rPr>
          <w:rFonts w:ascii="PT Serif" w:hAnsi="PT Serif" w:cs="Times New Roman"/>
          <w:sz w:val="24"/>
          <w:szCs w:val="24"/>
        </w:rPr>
        <w:t xml:space="preserve">a qué se debe y cómo podría solventarse? </w:t>
      </w:r>
    </w:p>
    <w:p w14:paraId="5B2E9E8E" w14:textId="77777777" w:rsidR="00844370" w:rsidRPr="00844370" w:rsidRDefault="004D6DA3" w:rsidP="007B0ED6">
      <w:pPr>
        <w:pStyle w:val="Prrafodelista"/>
        <w:spacing w:line="360" w:lineRule="auto"/>
        <w:ind w:left="0" w:firstLine="720"/>
        <w:contextualSpacing w:val="0"/>
        <w:jc w:val="both"/>
        <w:rPr>
          <w:rFonts w:ascii="PT Serif" w:hAnsi="PT Serif" w:cs="Times New Roman"/>
          <w:sz w:val="24"/>
          <w:szCs w:val="24"/>
        </w:rPr>
      </w:pPr>
      <w:r w:rsidRPr="000430DB">
        <w:rPr>
          <w:rFonts w:ascii="PT Serif" w:hAnsi="PT Serif" w:cs="Times New Roman"/>
          <w:sz w:val="24"/>
          <w:szCs w:val="24"/>
        </w:rPr>
        <w:t xml:space="preserve">Con el objetivo de </w:t>
      </w:r>
      <w:r w:rsidR="002D3F17" w:rsidRPr="000430DB">
        <w:rPr>
          <w:rFonts w:ascii="PT Serif" w:hAnsi="PT Serif" w:cs="Times New Roman"/>
          <w:sz w:val="24"/>
          <w:szCs w:val="24"/>
        </w:rPr>
        <w:t>responder la</w:t>
      </w:r>
      <w:r w:rsidR="00B41F8E">
        <w:rPr>
          <w:rFonts w:ascii="PT Serif" w:hAnsi="PT Serif" w:cs="Times New Roman"/>
          <w:sz w:val="24"/>
          <w:szCs w:val="24"/>
        </w:rPr>
        <w:t>s</w:t>
      </w:r>
      <w:r w:rsidR="002D3F17" w:rsidRPr="000430DB">
        <w:rPr>
          <w:rFonts w:ascii="PT Serif" w:hAnsi="PT Serif" w:cs="Times New Roman"/>
          <w:sz w:val="24"/>
          <w:szCs w:val="24"/>
        </w:rPr>
        <w:t xml:space="preserve"> interrogante</w:t>
      </w:r>
      <w:r w:rsidR="00B41F8E">
        <w:rPr>
          <w:rFonts w:ascii="PT Serif" w:hAnsi="PT Serif" w:cs="Times New Roman"/>
          <w:sz w:val="24"/>
          <w:szCs w:val="24"/>
        </w:rPr>
        <w:t>s</w:t>
      </w:r>
      <w:r w:rsidR="002D3F17" w:rsidRPr="000430DB">
        <w:rPr>
          <w:rFonts w:ascii="PT Serif" w:hAnsi="PT Serif" w:cs="Times New Roman"/>
          <w:sz w:val="24"/>
          <w:szCs w:val="24"/>
        </w:rPr>
        <w:t xml:space="preserve"> previa</w:t>
      </w:r>
      <w:r w:rsidR="00B41F8E">
        <w:rPr>
          <w:rFonts w:ascii="PT Serif" w:hAnsi="PT Serif" w:cs="Times New Roman"/>
          <w:sz w:val="24"/>
          <w:szCs w:val="24"/>
        </w:rPr>
        <w:t>s</w:t>
      </w:r>
      <w:r w:rsidR="002D3F17" w:rsidRPr="000430DB">
        <w:rPr>
          <w:rFonts w:ascii="PT Serif" w:hAnsi="PT Serif" w:cs="Times New Roman"/>
          <w:sz w:val="24"/>
          <w:szCs w:val="24"/>
        </w:rPr>
        <w:t xml:space="preserve">, el trabajo consta de </w:t>
      </w:r>
      <w:r w:rsidR="00844370">
        <w:rPr>
          <w:rFonts w:ascii="PT Serif" w:hAnsi="PT Serif" w:cs="Times New Roman"/>
          <w:sz w:val="24"/>
          <w:szCs w:val="24"/>
        </w:rPr>
        <w:t>seis</w:t>
      </w:r>
      <w:r w:rsidR="002D3F17" w:rsidRPr="000430DB">
        <w:rPr>
          <w:rFonts w:ascii="PT Serif" w:hAnsi="PT Serif" w:cs="Times New Roman"/>
          <w:sz w:val="24"/>
          <w:szCs w:val="24"/>
        </w:rPr>
        <w:t xml:space="preserve"> apartados principale</w:t>
      </w:r>
      <w:bookmarkEnd w:id="2"/>
      <w:r w:rsidR="00BD7C4B" w:rsidRPr="000430DB">
        <w:rPr>
          <w:rFonts w:ascii="PT Serif" w:hAnsi="PT Serif" w:cs="Times New Roman"/>
          <w:sz w:val="24"/>
          <w:szCs w:val="24"/>
        </w:rPr>
        <w:t xml:space="preserve">s. </w:t>
      </w:r>
      <w:r w:rsidR="00844370" w:rsidRPr="00844370">
        <w:rPr>
          <w:rFonts w:ascii="PT Serif" w:hAnsi="PT Serif" w:cs="Times New Roman"/>
          <w:sz w:val="24"/>
          <w:szCs w:val="24"/>
        </w:rPr>
        <w:t>El primero está dedicado a la metodología, en el que se expone el enfoque adoptado para analizar el cumplimiento de las sentencias por parte de los dos Estados en estudio, así como el proceso de construcción y delimitación del presente análisis.</w:t>
      </w:r>
    </w:p>
    <w:p w14:paraId="65F319A0" w14:textId="1064E43F" w:rsidR="00160DDD" w:rsidRDefault="00844370" w:rsidP="007B0ED6">
      <w:pPr>
        <w:pStyle w:val="Prrafodelista"/>
        <w:spacing w:line="360" w:lineRule="auto"/>
        <w:ind w:left="0" w:firstLine="720"/>
        <w:contextualSpacing w:val="0"/>
        <w:jc w:val="both"/>
        <w:rPr>
          <w:rFonts w:ascii="PT Serif" w:hAnsi="PT Serif" w:cs="Times New Roman"/>
          <w:sz w:val="24"/>
          <w:szCs w:val="24"/>
        </w:rPr>
      </w:pPr>
      <w:r>
        <w:rPr>
          <w:rFonts w:ascii="PT Serif" w:hAnsi="PT Serif" w:cs="Times New Roman"/>
          <w:sz w:val="24"/>
          <w:szCs w:val="24"/>
        </w:rPr>
        <w:t xml:space="preserve">En segundo lugar, </w:t>
      </w:r>
      <w:r w:rsidR="007F4E5B">
        <w:rPr>
          <w:rFonts w:ascii="PT Serif" w:hAnsi="PT Serif" w:cs="Times New Roman"/>
          <w:sz w:val="24"/>
          <w:szCs w:val="24"/>
        </w:rPr>
        <w:t xml:space="preserve">se </w:t>
      </w:r>
      <w:r w:rsidR="00B939ED" w:rsidRPr="000430DB">
        <w:rPr>
          <w:rFonts w:ascii="PT Serif" w:hAnsi="PT Serif" w:cs="Times New Roman"/>
          <w:sz w:val="24"/>
          <w:szCs w:val="24"/>
        </w:rPr>
        <w:t xml:space="preserve">aborda el contexto de la desaparición forzada en </w:t>
      </w:r>
      <w:r w:rsidR="00B41F8E">
        <w:rPr>
          <w:rFonts w:ascii="PT Serif" w:hAnsi="PT Serif" w:cs="Times New Roman"/>
          <w:sz w:val="24"/>
          <w:szCs w:val="24"/>
        </w:rPr>
        <w:t>Perú y México</w:t>
      </w:r>
      <w:r w:rsidR="00B939ED" w:rsidRPr="000430DB">
        <w:rPr>
          <w:rFonts w:ascii="PT Serif" w:hAnsi="PT Serif" w:cs="Times New Roman"/>
          <w:sz w:val="24"/>
          <w:szCs w:val="24"/>
        </w:rPr>
        <w:t>, examinando las condiciones que favorecieron su ocurrencia en cada país</w:t>
      </w:r>
      <w:r w:rsidR="00487151">
        <w:rPr>
          <w:rFonts w:ascii="PT Serif" w:hAnsi="PT Serif" w:cs="Times New Roman"/>
          <w:sz w:val="24"/>
          <w:szCs w:val="24"/>
        </w:rPr>
        <w:t xml:space="preserve">, las medidas legislativas para confrontar la situación </w:t>
      </w:r>
      <w:r>
        <w:rPr>
          <w:rFonts w:ascii="PT Serif" w:hAnsi="PT Serif" w:cs="Times New Roman"/>
          <w:sz w:val="24"/>
          <w:szCs w:val="24"/>
        </w:rPr>
        <w:t>y el impacto que han tenido culturalmente</w:t>
      </w:r>
      <w:r w:rsidR="00487151">
        <w:rPr>
          <w:rFonts w:ascii="PT Serif" w:hAnsi="PT Serif" w:cs="Times New Roman"/>
          <w:sz w:val="24"/>
          <w:szCs w:val="24"/>
        </w:rPr>
        <w:t xml:space="preserve"> en las sociedades</w:t>
      </w:r>
      <w:r w:rsidR="00B939ED" w:rsidRPr="000430DB">
        <w:rPr>
          <w:rFonts w:ascii="PT Serif" w:hAnsi="PT Serif" w:cs="Times New Roman"/>
          <w:sz w:val="24"/>
          <w:szCs w:val="24"/>
        </w:rPr>
        <w:t>.</w:t>
      </w:r>
      <w:r w:rsidR="0069280F" w:rsidRPr="000430DB">
        <w:rPr>
          <w:rFonts w:ascii="PT Serif" w:hAnsi="PT Serif" w:cs="Times New Roman"/>
          <w:sz w:val="24"/>
          <w:szCs w:val="24"/>
        </w:rPr>
        <w:t xml:space="preserve"> </w:t>
      </w:r>
      <w:r w:rsidR="00160DDD" w:rsidRPr="00160DDD">
        <w:rPr>
          <w:rFonts w:ascii="PT Serif" w:hAnsi="PT Serif" w:cs="Times New Roman"/>
          <w:sz w:val="24"/>
          <w:szCs w:val="24"/>
        </w:rPr>
        <w:t xml:space="preserve">En </w:t>
      </w:r>
      <w:r>
        <w:rPr>
          <w:rFonts w:ascii="PT Serif" w:hAnsi="PT Serif" w:cs="Times New Roman"/>
          <w:sz w:val="24"/>
          <w:szCs w:val="24"/>
        </w:rPr>
        <w:t>tercer</w:t>
      </w:r>
      <w:r w:rsidR="00160DDD" w:rsidRPr="00160DDD">
        <w:rPr>
          <w:rFonts w:ascii="PT Serif" w:hAnsi="PT Serif" w:cs="Times New Roman"/>
          <w:sz w:val="24"/>
          <w:szCs w:val="24"/>
        </w:rPr>
        <w:t xml:space="preserve"> lugar, se llev</w:t>
      </w:r>
      <w:r>
        <w:rPr>
          <w:rFonts w:ascii="PT Serif" w:hAnsi="PT Serif" w:cs="Times New Roman"/>
          <w:sz w:val="24"/>
          <w:szCs w:val="24"/>
        </w:rPr>
        <w:t xml:space="preserve">a </w:t>
      </w:r>
      <w:r w:rsidR="00160DDD" w:rsidRPr="00160DDD">
        <w:rPr>
          <w:rFonts w:ascii="PT Serif" w:hAnsi="PT Serif" w:cs="Times New Roman"/>
          <w:sz w:val="24"/>
          <w:szCs w:val="24"/>
        </w:rPr>
        <w:t xml:space="preserve">a cabo un análisis integral de todas las sentencias emitidas por la </w:t>
      </w:r>
      <w:r w:rsidR="00160DDD">
        <w:rPr>
          <w:rFonts w:ascii="PT Serif" w:hAnsi="PT Serif" w:cs="Times New Roman"/>
          <w:sz w:val="24"/>
          <w:szCs w:val="24"/>
        </w:rPr>
        <w:t>CoIDH</w:t>
      </w:r>
      <w:r w:rsidR="00160DDD" w:rsidRPr="00160DDD">
        <w:rPr>
          <w:rFonts w:ascii="PT Serif" w:hAnsi="PT Serif" w:cs="Times New Roman"/>
          <w:sz w:val="24"/>
          <w:szCs w:val="24"/>
        </w:rPr>
        <w:t xml:space="preserve"> en materia de desaparición forzada, identificando los casos dirigidos contra Perú y México, y evaluando el nivel de cumplimiento de las medidas de reparación ordenadas. </w:t>
      </w:r>
    </w:p>
    <w:p w14:paraId="31C05A8F" w14:textId="2DDCF808" w:rsidR="000650B0" w:rsidRPr="000430DB" w:rsidRDefault="00160DDD" w:rsidP="007B0ED6">
      <w:pPr>
        <w:pStyle w:val="Prrafodelista"/>
        <w:spacing w:line="360" w:lineRule="auto"/>
        <w:ind w:left="0" w:firstLine="720"/>
        <w:contextualSpacing w:val="0"/>
        <w:jc w:val="both"/>
        <w:rPr>
          <w:rFonts w:ascii="PT Serif" w:hAnsi="PT Serif" w:cs="Times New Roman"/>
          <w:sz w:val="24"/>
          <w:szCs w:val="24"/>
        </w:rPr>
      </w:pPr>
      <w:r>
        <w:rPr>
          <w:rFonts w:ascii="PT Serif" w:hAnsi="PT Serif" w:cs="Times New Roman"/>
          <w:sz w:val="24"/>
          <w:szCs w:val="24"/>
        </w:rPr>
        <w:t xml:space="preserve">En el </w:t>
      </w:r>
      <w:r w:rsidR="00844370">
        <w:rPr>
          <w:rFonts w:ascii="PT Serif" w:hAnsi="PT Serif" w:cs="Times New Roman"/>
          <w:sz w:val="24"/>
          <w:szCs w:val="24"/>
        </w:rPr>
        <w:t>cuarto</w:t>
      </w:r>
      <w:r>
        <w:rPr>
          <w:rFonts w:ascii="PT Serif" w:hAnsi="PT Serif" w:cs="Times New Roman"/>
          <w:sz w:val="24"/>
          <w:szCs w:val="24"/>
        </w:rPr>
        <w:t xml:space="preserve"> apartado</w:t>
      </w:r>
      <w:r w:rsidR="00B939ED" w:rsidRPr="000430DB">
        <w:rPr>
          <w:rFonts w:ascii="PT Serif" w:hAnsi="PT Serif" w:cs="Times New Roman"/>
          <w:sz w:val="24"/>
          <w:szCs w:val="24"/>
        </w:rPr>
        <w:t xml:space="preserve">, se explora el impacto real de estos fallos en las políticas y acciones estatales, prestando especial atención a </w:t>
      </w:r>
      <w:r w:rsidR="00844370">
        <w:rPr>
          <w:rFonts w:ascii="PT Serif" w:hAnsi="PT Serif" w:cs="Times New Roman"/>
          <w:sz w:val="24"/>
          <w:szCs w:val="24"/>
        </w:rPr>
        <w:t xml:space="preserve">determinados casos </w:t>
      </w:r>
      <w:r w:rsidR="00B939ED" w:rsidRPr="000430DB">
        <w:rPr>
          <w:rFonts w:ascii="PT Serif" w:hAnsi="PT Serif" w:cs="Times New Roman"/>
          <w:sz w:val="24"/>
          <w:szCs w:val="24"/>
        </w:rPr>
        <w:t xml:space="preserve">que reflejan la indiferencia y desatención gubernamental. En el </w:t>
      </w:r>
      <w:r w:rsidR="00844370">
        <w:rPr>
          <w:rFonts w:ascii="PT Serif" w:hAnsi="PT Serif" w:cs="Times New Roman"/>
          <w:sz w:val="24"/>
          <w:szCs w:val="24"/>
        </w:rPr>
        <w:t>quinto</w:t>
      </w:r>
      <w:r w:rsidR="00B939ED" w:rsidRPr="000430DB">
        <w:rPr>
          <w:rFonts w:ascii="PT Serif" w:hAnsi="PT Serif" w:cs="Times New Roman"/>
          <w:sz w:val="24"/>
          <w:szCs w:val="24"/>
        </w:rPr>
        <w:t xml:space="preserve"> apartado, se examina las </w:t>
      </w:r>
      <w:r w:rsidR="00B939ED" w:rsidRPr="000430DB">
        <w:rPr>
          <w:rFonts w:ascii="PT Serif" w:hAnsi="PT Serif" w:cs="Times New Roman"/>
          <w:sz w:val="24"/>
          <w:szCs w:val="24"/>
        </w:rPr>
        <w:lastRenderedPageBreak/>
        <w:t>causas estructurales del incumplimiento a través de teorías doctrinales. Finalmente, se presenta</w:t>
      </w:r>
      <w:r w:rsidR="00B41F8E">
        <w:rPr>
          <w:rFonts w:ascii="PT Serif" w:hAnsi="PT Serif" w:cs="Times New Roman"/>
          <w:sz w:val="24"/>
          <w:szCs w:val="24"/>
        </w:rPr>
        <w:t>n</w:t>
      </w:r>
      <w:r w:rsidR="00B939ED" w:rsidRPr="000430DB">
        <w:rPr>
          <w:rFonts w:ascii="PT Serif" w:hAnsi="PT Serif" w:cs="Times New Roman"/>
          <w:sz w:val="24"/>
          <w:szCs w:val="24"/>
        </w:rPr>
        <w:t xml:space="preserve"> </w:t>
      </w:r>
      <w:r w:rsidR="001A7A0D" w:rsidRPr="000430DB">
        <w:rPr>
          <w:rFonts w:ascii="PT Serif" w:hAnsi="PT Serif" w:cs="Times New Roman"/>
          <w:sz w:val="24"/>
          <w:szCs w:val="24"/>
        </w:rPr>
        <w:t xml:space="preserve">algunas </w:t>
      </w:r>
      <w:r w:rsidR="00B939ED" w:rsidRPr="000430DB">
        <w:rPr>
          <w:rFonts w:ascii="PT Serif" w:hAnsi="PT Serif" w:cs="Times New Roman"/>
          <w:sz w:val="24"/>
          <w:szCs w:val="24"/>
        </w:rPr>
        <w:t>propuestas para mejorar el cumplimiento de las sentencias interamericanas en la lucha contra la desaparición forzada.</w:t>
      </w:r>
    </w:p>
    <w:p w14:paraId="3908B6A1" w14:textId="742FDD79" w:rsidR="00363B5C" w:rsidRPr="00074E2D" w:rsidRDefault="000650B0" w:rsidP="007B0ED6">
      <w:pPr>
        <w:pStyle w:val="Prrafodelista"/>
        <w:spacing w:line="360" w:lineRule="auto"/>
        <w:ind w:left="0" w:firstLine="720"/>
        <w:contextualSpacing w:val="0"/>
        <w:jc w:val="both"/>
        <w:rPr>
          <w:rFonts w:ascii="PT Serif" w:hAnsi="PT Serif"/>
          <w:sz w:val="24"/>
          <w:szCs w:val="24"/>
        </w:rPr>
      </w:pPr>
      <w:r w:rsidRPr="000430DB">
        <w:rPr>
          <w:rFonts w:ascii="PT Serif" w:hAnsi="PT Serif" w:cs="Times New Roman"/>
          <w:sz w:val="24"/>
          <w:szCs w:val="24"/>
        </w:rPr>
        <w:t xml:space="preserve">Asimismo, </w:t>
      </w:r>
      <w:r w:rsidRPr="000430DB">
        <w:rPr>
          <w:rFonts w:ascii="PT Serif" w:hAnsi="PT Serif"/>
          <w:sz w:val="24"/>
          <w:szCs w:val="24"/>
        </w:rPr>
        <w:t>cabe precisar</w:t>
      </w:r>
      <w:r w:rsidR="009A0B2C" w:rsidRPr="000430DB">
        <w:rPr>
          <w:rFonts w:ascii="PT Serif" w:hAnsi="PT Serif"/>
          <w:sz w:val="24"/>
          <w:szCs w:val="24"/>
        </w:rPr>
        <w:t xml:space="preserve"> </w:t>
      </w:r>
      <w:r w:rsidRPr="000430DB">
        <w:rPr>
          <w:rFonts w:ascii="PT Serif" w:hAnsi="PT Serif"/>
          <w:sz w:val="24"/>
          <w:szCs w:val="24"/>
        </w:rPr>
        <w:t>que</w:t>
      </w:r>
      <w:r w:rsidR="009A0B2C" w:rsidRPr="000430DB">
        <w:rPr>
          <w:rFonts w:ascii="PT Serif" w:hAnsi="PT Serif"/>
          <w:sz w:val="24"/>
          <w:szCs w:val="24"/>
        </w:rPr>
        <w:t>,</w:t>
      </w:r>
      <w:r w:rsidRPr="000430DB">
        <w:rPr>
          <w:rFonts w:ascii="PT Serif" w:hAnsi="PT Serif"/>
          <w:sz w:val="24"/>
          <w:szCs w:val="24"/>
        </w:rPr>
        <w:t xml:space="preserve"> </w:t>
      </w:r>
      <w:r w:rsidR="00BD4679" w:rsidRPr="000430DB">
        <w:rPr>
          <w:rFonts w:ascii="PT Serif" w:hAnsi="PT Serif"/>
          <w:sz w:val="24"/>
          <w:szCs w:val="24"/>
        </w:rPr>
        <w:t>si bie</w:t>
      </w:r>
      <w:r w:rsidR="009A0B2C" w:rsidRPr="000430DB">
        <w:rPr>
          <w:rFonts w:ascii="PT Serif" w:hAnsi="PT Serif"/>
          <w:sz w:val="24"/>
          <w:szCs w:val="24"/>
        </w:rPr>
        <w:t>n e</w:t>
      </w:r>
      <w:r w:rsidR="00BD4679" w:rsidRPr="000430DB">
        <w:rPr>
          <w:rFonts w:ascii="PT Serif" w:hAnsi="PT Serif"/>
          <w:sz w:val="24"/>
          <w:szCs w:val="24"/>
        </w:rPr>
        <w:t>l</w:t>
      </w:r>
      <w:r w:rsidRPr="000430DB">
        <w:rPr>
          <w:rFonts w:ascii="PT Serif" w:hAnsi="PT Serif"/>
          <w:sz w:val="24"/>
          <w:szCs w:val="24"/>
        </w:rPr>
        <w:t xml:space="preserve"> enfoque dado en este trabajo se centra en los aspectos negativos y las dificultades que enfrentan </w:t>
      </w:r>
      <w:r w:rsidR="00B41F8E">
        <w:rPr>
          <w:rFonts w:ascii="PT Serif" w:hAnsi="PT Serif"/>
          <w:sz w:val="24"/>
          <w:szCs w:val="24"/>
        </w:rPr>
        <w:t>Perú y México</w:t>
      </w:r>
      <w:r w:rsidRPr="000430DB">
        <w:rPr>
          <w:rFonts w:ascii="PT Serif" w:hAnsi="PT Serif"/>
          <w:sz w:val="24"/>
          <w:szCs w:val="24"/>
        </w:rPr>
        <w:t xml:space="preserve"> en el cumplimiento de las sentencias de la CoIDH </w:t>
      </w:r>
      <w:r w:rsidR="003F7A54" w:rsidRPr="000430DB">
        <w:rPr>
          <w:rFonts w:ascii="PT Serif" w:hAnsi="PT Serif"/>
          <w:sz w:val="24"/>
          <w:szCs w:val="24"/>
        </w:rPr>
        <w:t xml:space="preserve">sobre </w:t>
      </w:r>
      <w:r w:rsidRPr="000430DB">
        <w:rPr>
          <w:rFonts w:ascii="PT Serif" w:hAnsi="PT Serif"/>
          <w:sz w:val="24"/>
          <w:szCs w:val="24"/>
        </w:rPr>
        <w:t>desaparición forzada</w:t>
      </w:r>
      <w:r w:rsidR="00BD4679" w:rsidRPr="000430DB">
        <w:rPr>
          <w:rFonts w:ascii="PT Serif" w:hAnsi="PT Serif"/>
          <w:sz w:val="24"/>
          <w:szCs w:val="24"/>
        </w:rPr>
        <w:t xml:space="preserve">, no habrá de significar esto algún menosprecio al avance estatal </w:t>
      </w:r>
      <w:r w:rsidR="00997B32" w:rsidRPr="000430DB">
        <w:rPr>
          <w:rFonts w:ascii="PT Serif" w:hAnsi="PT Serif"/>
          <w:sz w:val="24"/>
          <w:szCs w:val="24"/>
        </w:rPr>
        <w:t>en la reparación de derechos humanos producto</w:t>
      </w:r>
      <w:r w:rsidR="00BD4679" w:rsidRPr="000430DB">
        <w:rPr>
          <w:rFonts w:ascii="PT Serif" w:hAnsi="PT Serif"/>
          <w:sz w:val="24"/>
          <w:szCs w:val="24"/>
        </w:rPr>
        <w:t xml:space="preserve"> </w:t>
      </w:r>
      <w:r w:rsidR="00997B32" w:rsidRPr="000430DB">
        <w:rPr>
          <w:rFonts w:ascii="PT Serif" w:hAnsi="PT Serif"/>
          <w:sz w:val="24"/>
          <w:szCs w:val="24"/>
        </w:rPr>
        <w:t>de</w:t>
      </w:r>
      <w:r w:rsidR="00BD4679" w:rsidRPr="000430DB">
        <w:rPr>
          <w:rFonts w:ascii="PT Serif" w:hAnsi="PT Serif"/>
          <w:sz w:val="24"/>
          <w:szCs w:val="24"/>
        </w:rPr>
        <w:t xml:space="preserve"> las resoluciones del Tribunal Interamericano</w:t>
      </w:r>
      <w:r w:rsidR="009A0B2C" w:rsidRPr="000430DB">
        <w:rPr>
          <w:rFonts w:ascii="PT Serif" w:hAnsi="PT Serif"/>
          <w:sz w:val="24"/>
          <w:szCs w:val="24"/>
        </w:rPr>
        <w:t xml:space="preserve">. El objeto del estudio es concebir las deficiencias </w:t>
      </w:r>
      <w:r w:rsidR="00997B32" w:rsidRPr="000430DB">
        <w:rPr>
          <w:rFonts w:ascii="PT Serif" w:hAnsi="PT Serif"/>
          <w:sz w:val="24"/>
          <w:szCs w:val="24"/>
        </w:rPr>
        <w:t xml:space="preserve">persistentes, abordar sus causas y con esto </w:t>
      </w:r>
      <w:r w:rsidR="00276A41">
        <w:rPr>
          <w:rFonts w:ascii="PT Serif" w:hAnsi="PT Serif"/>
          <w:sz w:val="24"/>
          <w:szCs w:val="24"/>
        </w:rPr>
        <w:t>ofrecer posturas</w:t>
      </w:r>
      <w:r w:rsidR="00997B32" w:rsidRPr="000430DB">
        <w:rPr>
          <w:rFonts w:ascii="PT Serif" w:hAnsi="PT Serif"/>
          <w:sz w:val="24"/>
          <w:szCs w:val="24"/>
        </w:rPr>
        <w:t xml:space="preserve"> que socaven la problemática </w:t>
      </w:r>
      <w:r w:rsidR="00667AB1" w:rsidRPr="000430DB">
        <w:rPr>
          <w:rFonts w:ascii="PT Serif" w:hAnsi="PT Serif"/>
          <w:sz w:val="24"/>
          <w:szCs w:val="24"/>
        </w:rPr>
        <w:t>existente.</w:t>
      </w:r>
      <w:r w:rsidR="00997B32" w:rsidRPr="000430DB">
        <w:rPr>
          <w:rFonts w:ascii="PT Serif" w:hAnsi="PT Serif"/>
          <w:sz w:val="24"/>
          <w:szCs w:val="24"/>
        </w:rPr>
        <w:t xml:space="preserve"> </w:t>
      </w:r>
    </w:p>
    <w:bookmarkEnd w:id="3"/>
    <w:p w14:paraId="0C005022" w14:textId="402CFEAA" w:rsidR="00733BCA" w:rsidRPr="00733BCA" w:rsidRDefault="00733BCA" w:rsidP="007B0ED6">
      <w:pPr>
        <w:pStyle w:val="Prrafodelista"/>
        <w:numPr>
          <w:ilvl w:val="0"/>
          <w:numId w:val="2"/>
        </w:numPr>
        <w:spacing w:line="360" w:lineRule="auto"/>
        <w:ind w:left="1077"/>
        <w:contextualSpacing w:val="0"/>
        <w:jc w:val="both"/>
        <w:rPr>
          <w:rFonts w:ascii="PT Serif" w:hAnsi="PT Serif"/>
          <w:b/>
          <w:bCs/>
          <w:i/>
          <w:iCs/>
          <w:sz w:val="24"/>
          <w:szCs w:val="24"/>
        </w:rPr>
      </w:pPr>
      <w:r w:rsidRPr="00733BCA">
        <w:rPr>
          <w:rFonts w:ascii="PT Serif" w:hAnsi="PT Serif"/>
          <w:b/>
          <w:bCs/>
          <w:i/>
          <w:iCs/>
          <w:sz w:val="24"/>
          <w:szCs w:val="24"/>
        </w:rPr>
        <w:t xml:space="preserve">METODOLOGÍA EMPLEADA </w:t>
      </w:r>
    </w:p>
    <w:p w14:paraId="2CCEED4B" w14:textId="0BB3BF8E" w:rsidR="00733BCA" w:rsidRPr="00733BCA" w:rsidRDefault="00733BCA" w:rsidP="007B0ED6">
      <w:pPr>
        <w:spacing w:line="360" w:lineRule="auto"/>
        <w:ind w:firstLine="720"/>
        <w:jc w:val="both"/>
        <w:rPr>
          <w:rFonts w:ascii="PT Serif" w:hAnsi="PT Serif" w:cs="Times New Roman"/>
          <w:sz w:val="24"/>
          <w:szCs w:val="24"/>
        </w:rPr>
      </w:pPr>
      <w:r w:rsidRPr="00733BCA">
        <w:rPr>
          <w:rFonts w:ascii="PT Serif" w:hAnsi="PT Serif" w:cs="Times New Roman"/>
          <w:sz w:val="24"/>
          <w:szCs w:val="24"/>
        </w:rPr>
        <w:t>E</w:t>
      </w:r>
      <w:r w:rsidR="00E420F4">
        <w:rPr>
          <w:rFonts w:ascii="PT Serif" w:hAnsi="PT Serif" w:cs="Times New Roman"/>
          <w:sz w:val="24"/>
          <w:szCs w:val="24"/>
        </w:rPr>
        <w:t xml:space="preserve">l presente trabajo </w:t>
      </w:r>
      <w:r w:rsidRPr="00733BCA">
        <w:rPr>
          <w:rFonts w:ascii="PT Serif" w:hAnsi="PT Serif" w:cs="Times New Roman"/>
          <w:sz w:val="24"/>
          <w:szCs w:val="24"/>
        </w:rPr>
        <w:t>adopta una metodología cualitativa,</w:t>
      </w:r>
      <w:r w:rsidR="00B138CB">
        <w:rPr>
          <w:rFonts w:ascii="PT Serif" w:hAnsi="PT Serif" w:cs="Times New Roman"/>
          <w:sz w:val="24"/>
          <w:szCs w:val="24"/>
        </w:rPr>
        <w:t xml:space="preserve"> la cual se centra en </w:t>
      </w:r>
      <w:r w:rsidRPr="00733BCA">
        <w:rPr>
          <w:rFonts w:ascii="PT Serif" w:hAnsi="PT Serif" w:cs="Times New Roman"/>
          <w:sz w:val="24"/>
          <w:szCs w:val="24"/>
        </w:rPr>
        <w:t>dos ejes principales: el análisis documental y la revisión jurisprudencial.</w:t>
      </w:r>
      <w:r w:rsidR="00E420F4">
        <w:rPr>
          <w:rFonts w:ascii="PT Serif" w:hAnsi="PT Serif" w:cs="Times New Roman"/>
          <w:sz w:val="24"/>
          <w:szCs w:val="24"/>
        </w:rPr>
        <w:t xml:space="preserve"> Respecto al primero aplicable </w:t>
      </w:r>
      <w:r w:rsidR="00487151">
        <w:rPr>
          <w:rFonts w:ascii="PT Serif" w:hAnsi="PT Serif" w:cs="Times New Roman"/>
          <w:sz w:val="24"/>
          <w:szCs w:val="24"/>
        </w:rPr>
        <w:t xml:space="preserve">centralmente </w:t>
      </w:r>
      <w:r w:rsidR="00E420F4">
        <w:rPr>
          <w:rFonts w:ascii="PT Serif" w:hAnsi="PT Serif" w:cs="Times New Roman"/>
          <w:sz w:val="24"/>
          <w:szCs w:val="24"/>
        </w:rPr>
        <w:t>a los apartados diversos al cuarto</w:t>
      </w:r>
      <w:r w:rsidRPr="00733BCA">
        <w:rPr>
          <w:rFonts w:ascii="PT Serif" w:hAnsi="PT Serif" w:cs="Times New Roman"/>
          <w:sz w:val="24"/>
          <w:szCs w:val="24"/>
        </w:rPr>
        <w:t xml:space="preserve">, se realizó una revisión de fuentes doctrinales especializadas en </w:t>
      </w:r>
      <w:r w:rsidR="00E420F4">
        <w:rPr>
          <w:rFonts w:ascii="PT Serif" w:hAnsi="PT Serif" w:cs="Times New Roman"/>
          <w:sz w:val="24"/>
          <w:szCs w:val="24"/>
        </w:rPr>
        <w:t>desaparición forzada</w:t>
      </w:r>
      <w:r w:rsidR="003450D9">
        <w:rPr>
          <w:rFonts w:ascii="PT Serif" w:hAnsi="PT Serif" w:cs="Times New Roman"/>
          <w:sz w:val="24"/>
          <w:szCs w:val="24"/>
        </w:rPr>
        <w:t xml:space="preserve"> y </w:t>
      </w:r>
      <w:r w:rsidR="00E420F4">
        <w:rPr>
          <w:rFonts w:ascii="PT Serif" w:hAnsi="PT Serif" w:cs="Times New Roman"/>
          <w:sz w:val="24"/>
          <w:szCs w:val="24"/>
        </w:rPr>
        <w:t>justicia interamericana</w:t>
      </w:r>
      <w:r w:rsidRPr="00733BCA">
        <w:rPr>
          <w:rFonts w:ascii="PT Serif" w:hAnsi="PT Serif" w:cs="Times New Roman"/>
          <w:sz w:val="24"/>
          <w:szCs w:val="24"/>
        </w:rPr>
        <w:t xml:space="preserve">, a fin de establecer un marco teórico que permitiera contextualizar y </w:t>
      </w:r>
      <w:r w:rsidR="00B138CB">
        <w:rPr>
          <w:rFonts w:ascii="PT Serif" w:hAnsi="PT Serif" w:cs="Times New Roman"/>
          <w:sz w:val="24"/>
          <w:szCs w:val="24"/>
        </w:rPr>
        <w:t>abordar la problematización expuesta</w:t>
      </w:r>
      <w:r w:rsidRPr="00733BCA">
        <w:rPr>
          <w:rFonts w:ascii="PT Serif" w:hAnsi="PT Serif" w:cs="Times New Roman"/>
          <w:sz w:val="24"/>
          <w:szCs w:val="24"/>
        </w:rPr>
        <w:t xml:space="preserve"> </w:t>
      </w:r>
      <w:r w:rsidR="00B138CB">
        <w:rPr>
          <w:rFonts w:ascii="PT Serif" w:hAnsi="PT Serif" w:cs="Times New Roman"/>
          <w:sz w:val="24"/>
          <w:szCs w:val="24"/>
        </w:rPr>
        <w:t xml:space="preserve">a través </w:t>
      </w:r>
      <w:r w:rsidR="003450D9">
        <w:rPr>
          <w:rFonts w:ascii="PT Serif" w:hAnsi="PT Serif" w:cs="Times New Roman"/>
          <w:sz w:val="24"/>
          <w:szCs w:val="24"/>
        </w:rPr>
        <w:t xml:space="preserve">de sus </w:t>
      </w:r>
      <w:r w:rsidR="00B138CB">
        <w:rPr>
          <w:rFonts w:ascii="PT Serif" w:hAnsi="PT Serif" w:cs="Times New Roman"/>
          <w:sz w:val="24"/>
          <w:szCs w:val="24"/>
        </w:rPr>
        <w:t xml:space="preserve">causas y la propuesta de soluciones. </w:t>
      </w:r>
    </w:p>
    <w:p w14:paraId="10B76CB7" w14:textId="4A315D26" w:rsidR="00363B5C" w:rsidRDefault="00E420F4"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Sobre el segundo eje, aplicable </w:t>
      </w:r>
      <w:r w:rsidR="00B138CB">
        <w:rPr>
          <w:rFonts w:ascii="PT Serif" w:hAnsi="PT Serif" w:cs="Times New Roman"/>
          <w:sz w:val="24"/>
          <w:szCs w:val="24"/>
        </w:rPr>
        <w:t>focalmente</w:t>
      </w:r>
      <w:r>
        <w:rPr>
          <w:rFonts w:ascii="PT Serif" w:hAnsi="PT Serif" w:cs="Times New Roman"/>
          <w:sz w:val="24"/>
          <w:szCs w:val="24"/>
        </w:rPr>
        <w:t xml:space="preserve"> a la cuarta sección</w:t>
      </w:r>
      <w:r w:rsidR="00733BCA" w:rsidRPr="00733BCA">
        <w:rPr>
          <w:rFonts w:ascii="PT Serif" w:hAnsi="PT Serif" w:cs="Times New Roman"/>
          <w:sz w:val="24"/>
          <w:szCs w:val="24"/>
        </w:rPr>
        <w:t xml:space="preserve">, se llevó a cabo un análisis </w:t>
      </w:r>
      <w:r>
        <w:rPr>
          <w:rFonts w:ascii="PT Serif" w:hAnsi="PT Serif" w:cs="Times New Roman"/>
          <w:sz w:val="24"/>
          <w:szCs w:val="24"/>
        </w:rPr>
        <w:t>entero</w:t>
      </w:r>
      <w:r w:rsidR="00733BCA" w:rsidRPr="00733BCA">
        <w:rPr>
          <w:rFonts w:ascii="PT Serif" w:hAnsi="PT Serif" w:cs="Times New Roman"/>
          <w:sz w:val="24"/>
          <w:szCs w:val="24"/>
        </w:rPr>
        <w:t xml:space="preserve"> de las sentencias emitidas por la CoIDH en contra de los Estados</w:t>
      </w:r>
      <w:r>
        <w:rPr>
          <w:rFonts w:ascii="PT Serif" w:hAnsi="PT Serif" w:cs="Times New Roman"/>
          <w:sz w:val="24"/>
          <w:szCs w:val="24"/>
        </w:rPr>
        <w:t xml:space="preserve"> abordados</w:t>
      </w:r>
      <w:r w:rsidR="00733BCA" w:rsidRPr="00733BCA">
        <w:rPr>
          <w:rFonts w:ascii="PT Serif" w:hAnsi="PT Serif" w:cs="Times New Roman"/>
          <w:sz w:val="24"/>
          <w:szCs w:val="24"/>
        </w:rPr>
        <w:t xml:space="preserve">, </w:t>
      </w:r>
      <w:r>
        <w:rPr>
          <w:rFonts w:ascii="PT Serif" w:hAnsi="PT Serif" w:cs="Times New Roman"/>
          <w:sz w:val="24"/>
          <w:szCs w:val="24"/>
        </w:rPr>
        <w:t>identificado</w:t>
      </w:r>
      <w:r w:rsidR="00733BCA" w:rsidRPr="00733BCA">
        <w:rPr>
          <w:rFonts w:ascii="PT Serif" w:hAnsi="PT Serif" w:cs="Times New Roman"/>
          <w:sz w:val="24"/>
          <w:szCs w:val="24"/>
        </w:rPr>
        <w:t xml:space="preserve"> aquellos casos directamente relacionados con la desaparición forzada. Para ello, se accedió al sitio web oficial del tribunal, se utilizó el buscador de sentencias por país y se </w:t>
      </w:r>
      <w:r>
        <w:rPr>
          <w:rFonts w:ascii="PT Serif" w:hAnsi="PT Serif" w:cs="Times New Roman"/>
          <w:sz w:val="24"/>
          <w:szCs w:val="24"/>
        </w:rPr>
        <w:t>acudió al contenido de las resoluciones arrojadas por el sistema</w:t>
      </w:r>
      <w:r w:rsidR="00733BCA" w:rsidRPr="00733BCA">
        <w:rPr>
          <w:rFonts w:ascii="PT Serif" w:hAnsi="PT Serif" w:cs="Times New Roman"/>
          <w:sz w:val="24"/>
          <w:szCs w:val="24"/>
        </w:rPr>
        <w:t xml:space="preserve">. Una vez </w:t>
      </w:r>
      <w:r>
        <w:rPr>
          <w:rFonts w:ascii="PT Serif" w:hAnsi="PT Serif" w:cs="Times New Roman"/>
          <w:sz w:val="24"/>
          <w:szCs w:val="24"/>
        </w:rPr>
        <w:t>diferenciadas</w:t>
      </w:r>
      <w:r w:rsidR="00733BCA" w:rsidRPr="00733BCA">
        <w:rPr>
          <w:rFonts w:ascii="PT Serif" w:hAnsi="PT Serif" w:cs="Times New Roman"/>
          <w:sz w:val="24"/>
          <w:szCs w:val="24"/>
        </w:rPr>
        <w:t xml:space="preserve"> las sentencias, se consultaron sus respectivas resoluciones de supervisión de cumplimiento </w:t>
      </w:r>
      <w:r>
        <w:rPr>
          <w:rFonts w:ascii="PT Serif" w:hAnsi="PT Serif" w:cs="Times New Roman"/>
          <w:sz w:val="24"/>
          <w:szCs w:val="24"/>
        </w:rPr>
        <w:t>que también se hallan dentro de</w:t>
      </w:r>
      <w:r w:rsidR="003450D9">
        <w:rPr>
          <w:rFonts w:ascii="PT Serif" w:hAnsi="PT Serif" w:cs="Times New Roman"/>
          <w:sz w:val="24"/>
          <w:szCs w:val="24"/>
        </w:rPr>
        <w:t xml:space="preserve">l mismo </w:t>
      </w:r>
      <w:r w:rsidR="003450D9">
        <w:rPr>
          <w:rFonts w:ascii="PT Serif" w:hAnsi="PT Serif" w:cs="Times New Roman"/>
          <w:sz w:val="24"/>
          <w:szCs w:val="24"/>
        </w:rPr>
        <w:lastRenderedPageBreak/>
        <w:t>sitio web</w:t>
      </w:r>
      <w:r>
        <w:rPr>
          <w:rFonts w:ascii="PT Serif" w:hAnsi="PT Serif" w:cs="Times New Roman"/>
          <w:sz w:val="24"/>
          <w:szCs w:val="24"/>
        </w:rPr>
        <w:t xml:space="preserve">. Aquí el </w:t>
      </w:r>
      <w:r w:rsidRPr="00E420F4">
        <w:rPr>
          <w:rFonts w:ascii="PT Serif" w:hAnsi="PT Serif" w:cs="Times New Roman"/>
          <w:sz w:val="24"/>
          <w:szCs w:val="24"/>
        </w:rPr>
        <w:t xml:space="preserve">análisis se centró en los puntos resolutivos, permitiendo establecer </w:t>
      </w:r>
      <w:r w:rsidR="00AE7A63">
        <w:rPr>
          <w:rFonts w:ascii="PT Serif" w:hAnsi="PT Serif" w:cs="Times New Roman"/>
          <w:sz w:val="24"/>
          <w:szCs w:val="24"/>
        </w:rPr>
        <w:t>-</w:t>
      </w:r>
      <w:r w:rsidRPr="00E420F4">
        <w:rPr>
          <w:rFonts w:ascii="PT Serif" w:hAnsi="PT Serif" w:cs="Times New Roman"/>
          <w:sz w:val="24"/>
          <w:szCs w:val="24"/>
        </w:rPr>
        <w:t>a partir de una comparación entre las distintas resoluciones emitidas a lo largo del tiempo</w:t>
      </w:r>
      <w:r w:rsidR="00AE7A63">
        <w:rPr>
          <w:rFonts w:ascii="PT Serif" w:hAnsi="PT Serif" w:cs="Times New Roman"/>
          <w:sz w:val="24"/>
          <w:szCs w:val="24"/>
        </w:rPr>
        <w:t>-</w:t>
      </w:r>
      <w:r w:rsidRPr="00E420F4">
        <w:rPr>
          <w:rFonts w:ascii="PT Serif" w:hAnsi="PT Serif" w:cs="Times New Roman"/>
          <w:sz w:val="24"/>
          <w:szCs w:val="24"/>
        </w:rPr>
        <w:t xml:space="preserve"> qué medidas han sido cumplidas y cuáles permanecen pendientes, conforme a la información disponible en la última revisión realizada</w:t>
      </w:r>
      <w:r w:rsidR="00006D6B">
        <w:rPr>
          <w:rFonts w:ascii="PT Serif" w:hAnsi="PT Serif" w:cs="Times New Roman"/>
          <w:sz w:val="24"/>
          <w:szCs w:val="24"/>
        </w:rPr>
        <w:t xml:space="preserve"> por la CoIDH. </w:t>
      </w:r>
    </w:p>
    <w:p w14:paraId="2784C8ED" w14:textId="7A551D71" w:rsidR="00D54B38" w:rsidRPr="000430DB" w:rsidRDefault="00B228AB" w:rsidP="007B0ED6">
      <w:pPr>
        <w:pStyle w:val="Prrafodelista"/>
        <w:numPr>
          <w:ilvl w:val="0"/>
          <w:numId w:val="2"/>
        </w:numPr>
        <w:spacing w:line="360" w:lineRule="auto"/>
        <w:ind w:left="1077"/>
        <w:contextualSpacing w:val="0"/>
        <w:jc w:val="both"/>
        <w:rPr>
          <w:rFonts w:ascii="PT Serif" w:hAnsi="PT Serif"/>
          <w:sz w:val="24"/>
          <w:szCs w:val="24"/>
        </w:rPr>
      </w:pPr>
      <w:r w:rsidRPr="000430DB">
        <w:rPr>
          <w:rFonts w:ascii="PT Serif" w:hAnsi="PT Serif" w:cs="Times New Roman"/>
          <w:b/>
          <w:bCs/>
          <w:i/>
          <w:iCs/>
          <w:smallCaps/>
          <w:sz w:val="24"/>
          <w:szCs w:val="24"/>
        </w:rPr>
        <w:t xml:space="preserve">EL CONTEXTO DE LA DESAPARICIÓN FORZADA EN </w:t>
      </w:r>
      <w:r w:rsidR="00752176" w:rsidRPr="000430DB">
        <w:rPr>
          <w:rFonts w:ascii="PT Serif" w:hAnsi="PT Serif" w:cs="Times New Roman"/>
          <w:b/>
          <w:bCs/>
          <w:i/>
          <w:iCs/>
          <w:smallCaps/>
          <w:sz w:val="24"/>
          <w:szCs w:val="24"/>
        </w:rPr>
        <w:t>PERÚ Y MÉXICO</w:t>
      </w:r>
    </w:p>
    <w:p w14:paraId="585958E5" w14:textId="0F296C01" w:rsidR="009152F4" w:rsidRPr="000430DB" w:rsidRDefault="000C4B30" w:rsidP="007B0ED6">
      <w:pPr>
        <w:spacing w:line="360" w:lineRule="auto"/>
        <w:ind w:firstLine="720"/>
        <w:jc w:val="both"/>
        <w:rPr>
          <w:rFonts w:ascii="PT Serif" w:hAnsi="PT Serif" w:cs="Times New Roman"/>
          <w:sz w:val="24"/>
          <w:szCs w:val="24"/>
        </w:rPr>
      </w:pPr>
      <w:r>
        <w:rPr>
          <w:rFonts w:ascii="PT Serif" w:hAnsi="PT Serif" w:cs="Times New Roman"/>
          <w:sz w:val="24"/>
          <w:szCs w:val="24"/>
        </w:rPr>
        <w:t>Advertida la metodología, aboquémonos con el contexto de la desaparición forzada en Perú y México, para ello primeramente definamos lo que es este delito.</w:t>
      </w:r>
      <w:r w:rsidR="00AE7A63">
        <w:rPr>
          <w:rFonts w:ascii="PT Serif" w:hAnsi="PT Serif" w:cs="Times New Roman"/>
          <w:sz w:val="24"/>
          <w:szCs w:val="24"/>
        </w:rPr>
        <w:t xml:space="preserve"> </w:t>
      </w:r>
      <w:r w:rsidR="00FF5F91" w:rsidRPr="000430DB">
        <w:rPr>
          <w:rFonts w:ascii="PT Serif" w:hAnsi="PT Serif" w:cs="Times New Roman"/>
          <w:sz w:val="24"/>
          <w:szCs w:val="24"/>
        </w:rPr>
        <w:t>La desaparición forzada</w:t>
      </w:r>
      <w:r w:rsidR="009152F4" w:rsidRPr="000430DB">
        <w:rPr>
          <w:rFonts w:ascii="PT Serif" w:hAnsi="PT Serif" w:cs="Times New Roman"/>
          <w:sz w:val="24"/>
          <w:szCs w:val="24"/>
        </w:rPr>
        <w:t xml:space="preserve">, pese a encontrar una multiplicidad conceptual que llega a ubicarla inclusive en fechas de la Antigua Roma, </w:t>
      </w:r>
      <w:r w:rsidR="00FF5F91" w:rsidRPr="000430DB">
        <w:rPr>
          <w:rFonts w:ascii="PT Serif" w:hAnsi="PT Serif" w:cs="Times New Roman"/>
          <w:sz w:val="24"/>
          <w:szCs w:val="24"/>
        </w:rPr>
        <w:t>fue reconocida como tal</w:t>
      </w:r>
      <w:r w:rsidR="009152F4" w:rsidRPr="000430DB">
        <w:rPr>
          <w:rFonts w:ascii="PT Serif" w:hAnsi="PT Serif" w:cs="Times New Roman"/>
          <w:sz w:val="24"/>
          <w:szCs w:val="24"/>
        </w:rPr>
        <w:t xml:space="preserve">, </w:t>
      </w:r>
      <w:r w:rsidR="003333C9" w:rsidRPr="000430DB">
        <w:rPr>
          <w:rFonts w:ascii="PT Serif" w:hAnsi="PT Serif" w:cs="Times New Roman"/>
          <w:sz w:val="24"/>
          <w:szCs w:val="24"/>
        </w:rPr>
        <w:t>incluyendo</w:t>
      </w:r>
      <w:r w:rsidR="009152F4" w:rsidRPr="000430DB">
        <w:rPr>
          <w:rFonts w:ascii="PT Serif" w:hAnsi="PT Serif" w:cs="Times New Roman"/>
          <w:sz w:val="24"/>
          <w:szCs w:val="24"/>
        </w:rPr>
        <w:t xml:space="preserve"> todas sus implicaciones legales y fácticas,</w:t>
      </w:r>
      <w:r w:rsidR="00FF5F91" w:rsidRPr="000430DB">
        <w:rPr>
          <w:rFonts w:ascii="PT Serif" w:hAnsi="PT Serif" w:cs="Times New Roman"/>
          <w:sz w:val="24"/>
          <w:szCs w:val="24"/>
        </w:rPr>
        <w:t xml:space="preserve"> por la Organización de las Naciones Unidas (ONU) durante la década de 1950</w:t>
      </w:r>
      <w:r w:rsidR="00C85039" w:rsidRPr="000430DB">
        <w:rPr>
          <w:rFonts w:ascii="PT Serif" w:hAnsi="PT Serif" w:cs="Times New Roman"/>
          <w:sz w:val="24"/>
          <w:szCs w:val="24"/>
        </w:rPr>
        <w:t xml:space="preserve"> (Robledo, 2016, p. 97)</w:t>
      </w:r>
      <w:r w:rsidR="00FF5F91" w:rsidRPr="000430DB">
        <w:rPr>
          <w:rFonts w:ascii="PT Serif" w:hAnsi="PT Serif" w:cs="Times New Roman"/>
          <w:sz w:val="24"/>
          <w:szCs w:val="24"/>
        </w:rPr>
        <w:t xml:space="preserve">. </w:t>
      </w:r>
    </w:p>
    <w:p w14:paraId="42E9A2C0" w14:textId="4B384B49" w:rsidR="00594445" w:rsidRPr="000430DB" w:rsidRDefault="00DC45ED"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De</w:t>
      </w:r>
      <w:r w:rsidR="00594445" w:rsidRPr="000430DB">
        <w:rPr>
          <w:rFonts w:ascii="PT Serif" w:hAnsi="PT Serif" w:cs="Times New Roman"/>
          <w:sz w:val="24"/>
          <w:szCs w:val="24"/>
        </w:rPr>
        <w:t xml:space="preserve"> conformidad con la Convención Interamericana sobre Desaparición Forzada de </w:t>
      </w:r>
      <w:r w:rsidR="00276A41">
        <w:rPr>
          <w:rFonts w:ascii="PT Serif" w:hAnsi="PT Serif" w:cs="Times New Roman"/>
          <w:sz w:val="24"/>
          <w:szCs w:val="24"/>
        </w:rPr>
        <w:t>P</w:t>
      </w:r>
      <w:r w:rsidR="00594445" w:rsidRPr="000430DB">
        <w:rPr>
          <w:rFonts w:ascii="PT Serif" w:hAnsi="PT Serif" w:cs="Times New Roman"/>
          <w:sz w:val="24"/>
          <w:szCs w:val="24"/>
        </w:rPr>
        <w:t>ersonas</w:t>
      </w:r>
      <w:r w:rsidR="00C85039" w:rsidRPr="000430DB">
        <w:rPr>
          <w:rFonts w:ascii="PT Serif" w:hAnsi="PT Serif" w:cs="Times New Roman"/>
          <w:sz w:val="24"/>
          <w:szCs w:val="24"/>
        </w:rPr>
        <w:t xml:space="preserve"> (CIDF)</w:t>
      </w:r>
      <w:r w:rsidR="00594445" w:rsidRPr="000430DB">
        <w:rPr>
          <w:rFonts w:ascii="PT Serif" w:hAnsi="PT Serif" w:cs="Times New Roman"/>
          <w:sz w:val="24"/>
          <w:szCs w:val="24"/>
        </w:rPr>
        <w:t xml:space="preserve">, </w:t>
      </w:r>
      <w:r w:rsidR="004A4C29">
        <w:rPr>
          <w:rFonts w:ascii="PT Serif" w:hAnsi="PT Serif" w:cs="Times New Roman"/>
          <w:sz w:val="24"/>
          <w:szCs w:val="24"/>
        </w:rPr>
        <w:t>es entendida</w:t>
      </w:r>
      <w:r w:rsidR="00594445" w:rsidRPr="000430DB">
        <w:rPr>
          <w:rFonts w:ascii="PT Serif" w:hAnsi="PT Serif" w:cs="Times New Roman"/>
          <w:sz w:val="24"/>
          <w:szCs w:val="24"/>
        </w:rPr>
        <w:t xml:space="preserve"> como:</w:t>
      </w:r>
    </w:p>
    <w:p w14:paraId="31CF0DDA" w14:textId="0E44DD18" w:rsidR="00D54B38" w:rsidRPr="000430DB" w:rsidRDefault="00E83289" w:rsidP="007B0ED6">
      <w:pPr>
        <w:spacing w:line="360" w:lineRule="auto"/>
        <w:ind w:left="720"/>
        <w:jc w:val="both"/>
        <w:rPr>
          <w:rFonts w:ascii="PT Serif" w:hAnsi="PT Serif" w:cs="Times New Roman"/>
          <w:sz w:val="24"/>
          <w:szCs w:val="24"/>
        </w:rPr>
      </w:pPr>
      <w:r>
        <w:rPr>
          <w:rFonts w:ascii="PT Serif" w:hAnsi="PT Serif" w:cs="Times New Roman"/>
          <w:sz w:val="24"/>
          <w:szCs w:val="24"/>
        </w:rPr>
        <w:t>[</w:t>
      </w:r>
      <w:r w:rsidR="00363B5C">
        <w:rPr>
          <w:rFonts w:ascii="PT Serif" w:hAnsi="PT Serif" w:cs="Times New Roman"/>
          <w:sz w:val="24"/>
          <w:szCs w:val="24"/>
        </w:rPr>
        <w:t>L</w:t>
      </w:r>
      <w:r>
        <w:rPr>
          <w:rFonts w:ascii="PT Serif" w:hAnsi="PT Serif" w:cs="Times New Roman"/>
          <w:sz w:val="24"/>
          <w:szCs w:val="24"/>
        </w:rPr>
        <w:t>]</w:t>
      </w:r>
      <w:r w:rsidR="00594445" w:rsidRPr="000430DB">
        <w:rPr>
          <w:rFonts w:ascii="PT Serif" w:hAnsi="PT Serif" w:cs="Times New Roman"/>
          <w:sz w:val="24"/>
          <w:szCs w:val="24"/>
        </w:rPr>
        <w:t>a privación de la libertad a una o más personas, cualquiera que fuere su forma, cometida por agentes del Estado o por personas o grupos de personas que actúen con la autorización, el apoyo o la aquiescencia del Estado, seguida de la falta de información o de la negativa a reconocer dicha privación de libertad o de informar sobre el paradero de la persona, con lo cual se impide el ejercicio de los recursos legales y de las garantías procesales pertinentes</w:t>
      </w:r>
      <w:r w:rsidR="00C85039" w:rsidRPr="000430DB">
        <w:rPr>
          <w:rFonts w:ascii="PT Serif" w:hAnsi="PT Serif" w:cs="Times New Roman"/>
          <w:sz w:val="24"/>
          <w:szCs w:val="24"/>
        </w:rPr>
        <w:t xml:space="preserve"> (CIDF, 1994, art. 2). </w:t>
      </w:r>
    </w:p>
    <w:p w14:paraId="5FCDBF9D" w14:textId="5B8E428D" w:rsidR="006D517B" w:rsidRPr="000430DB" w:rsidRDefault="00594445"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Aunado a esto, la jurisprudencia </w:t>
      </w:r>
      <w:r w:rsidR="00281E3B">
        <w:rPr>
          <w:rFonts w:ascii="PT Serif" w:hAnsi="PT Serif" w:cs="Times New Roman"/>
          <w:sz w:val="24"/>
          <w:szCs w:val="24"/>
        </w:rPr>
        <w:t>interamericana</w:t>
      </w:r>
      <w:r w:rsidRPr="000430DB">
        <w:rPr>
          <w:rFonts w:ascii="PT Serif" w:hAnsi="PT Serif" w:cs="Times New Roman"/>
          <w:sz w:val="24"/>
          <w:szCs w:val="24"/>
        </w:rPr>
        <w:t xml:space="preserve">, complementa el entendimiento de este fenómeno </w:t>
      </w:r>
      <w:r w:rsidR="007B7082">
        <w:rPr>
          <w:rFonts w:ascii="PT Serif" w:hAnsi="PT Serif" w:cs="Times New Roman"/>
          <w:sz w:val="24"/>
          <w:szCs w:val="24"/>
        </w:rPr>
        <w:t>a</w:t>
      </w:r>
      <w:r w:rsidR="00281E3B">
        <w:rPr>
          <w:rFonts w:ascii="PT Serif" w:hAnsi="PT Serif" w:cs="Times New Roman"/>
          <w:sz w:val="24"/>
          <w:szCs w:val="24"/>
        </w:rPr>
        <w:t>ñad</w:t>
      </w:r>
      <w:r w:rsidR="007B7082">
        <w:rPr>
          <w:rFonts w:ascii="PT Serif" w:hAnsi="PT Serif" w:cs="Times New Roman"/>
          <w:sz w:val="24"/>
          <w:szCs w:val="24"/>
        </w:rPr>
        <w:t>iendo</w:t>
      </w:r>
      <w:r w:rsidR="00E91822" w:rsidRPr="000430DB">
        <w:rPr>
          <w:rFonts w:ascii="PT Serif" w:hAnsi="PT Serif" w:cs="Times New Roman"/>
          <w:sz w:val="24"/>
          <w:szCs w:val="24"/>
        </w:rPr>
        <w:t xml:space="preserve"> elementos concurrentes </w:t>
      </w:r>
      <w:r w:rsidR="007B7082">
        <w:rPr>
          <w:rFonts w:ascii="PT Serif" w:hAnsi="PT Serif" w:cs="Times New Roman"/>
          <w:sz w:val="24"/>
          <w:szCs w:val="24"/>
        </w:rPr>
        <w:t>previstos</w:t>
      </w:r>
      <w:r w:rsidR="00E91822" w:rsidRPr="000430DB">
        <w:rPr>
          <w:rFonts w:ascii="PT Serif" w:hAnsi="PT Serif" w:cs="Times New Roman"/>
          <w:sz w:val="24"/>
          <w:szCs w:val="24"/>
        </w:rPr>
        <w:t xml:space="preserve"> en otros instrumentos</w:t>
      </w:r>
      <w:r w:rsidR="003333C9" w:rsidRPr="000430DB">
        <w:rPr>
          <w:rFonts w:ascii="PT Serif" w:hAnsi="PT Serif" w:cs="Times New Roman"/>
          <w:sz w:val="24"/>
          <w:szCs w:val="24"/>
        </w:rPr>
        <w:t xml:space="preserve"> </w:t>
      </w:r>
      <w:r w:rsidR="007B7082">
        <w:rPr>
          <w:rFonts w:ascii="PT Serif" w:hAnsi="PT Serif" w:cs="Times New Roman"/>
          <w:sz w:val="24"/>
          <w:szCs w:val="24"/>
        </w:rPr>
        <w:t>normativos</w:t>
      </w:r>
      <w:r w:rsidR="00E91822" w:rsidRPr="000430DB">
        <w:rPr>
          <w:rFonts w:ascii="PT Serif" w:hAnsi="PT Serif" w:cs="Times New Roman"/>
          <w:sz w:val="24"/>
          <w:szCs w:val="24"/>
        </w:rPr>
        <w:t xml:space="preserve">. Dichos elementos son: “a) la privación de la libertad; b) la intervención directa de agentes estatales o por la aquiescencia de éstos, y c) la </w:t>
      </w:r>
      <w:r w:rsidR="00E91822" w:rsidRPr="000430DB">
        <w:rPr>
          <w:rFonts w:ascii="PT Serif" w:hAnsi="PT Serif" w:cs="Times New Roman"/>
          <w:sz w:val="24"/>
          <w:szCs w:val="24"/>
        </w:rPr>
        <w:lastRenderedPageBreak/>
        <w:t>negativa de reconocer la detención y de revelar la suerte o paradero de la persona interesada”</w:t>
      </w:r>
      <w:r w:rsidR="00C85039" w:rsidRPr="000430DB">
        <w:rPr>
          <w:rFonts w:ascii="PT Serif" w:hAnsi="PT Serif" w:cs="Times New Roman"/>
          <w:sz w:val="24"/>
          <w:szCs w:val="24"/>
        </w:rPr>
        <w:t xml:space="preserve"> (</w:t>
      </w:r>
      <w:r w:rsidR="00281E3B">
        <w:rPr>
          <w:rFonts w:ascii="PT Serif" w:hAnsi="PT Serif" w:cs="Times New Roman"/>
          <w:sz w:val="24"/>
          <w:szCs w:val="24"/>
        </w:rPr>
        <w:t>Comisión Interamericana de Derechos Humanos [CIDH]</w:t>
      </w:r>
      <w:r w:rsidR="00C85039" w:rsidRPr="000430DB">
        <w:rPr>
          <w:rFonts w:ascii="PT Serif" w:hAnsi="PT Serif" w:cs="Times New Roman"/>
          <w:sz w:val="24"/>
          <w:szCs w:val="24"/>
        </w:rPr>
        <w:t>, 2009, p. 9)</w:t>
      </w:r>
      <w:r w:rsidR="00070477" w:rsidRPr="000430DB">
        <w:rPr>
          <w:rStyle w:val="Refdenotaalpie"/>
          <w:rFonts w:ascii="PT Serif" w:hAnsi="PT Serif" w:cs="Times New Roman"/>
          <w:sz w:val="24"/>
          <w:szCs w:val="24"/>
        </w:rPr>
        <w:footnoteReference w:id="3"/>
      </w:r>
      <w:r w:rsidR="00204339" w:rsidRPr="000430DB">
        <w:rPr>
          <w:rFonts w:ascii="PT Serif" w:hAnsi="PT Serif" w:cs="Times New Roman"/>
          <w:sz w:val="24"/>
          <w:szCs w:val="24"/>
        </w:rPr>
        <w:t>.</w:t>
      </w:r>
      <w:r w:rsidR="00E91822" w:rsidRPr="000430DB">
        <w:rPr>
          <w:rFonts w:ascii="PT Serif" w:hAnsi="PT Serif" w:cs="Times New Roman"/>
          <w:sz w:val="24"/>
          <w:szCs w:val="24"/>
        </w:rPr>
        <w:t xml:space="preserve"> </w:t>
      </w:r>
    </w:p>
    <w:p w14:paraId="3F6D6DF7" w14:textId="684F7F44" w:rsidR="00EF64E3" w:rsidRPr="000430DB" w:rsidRDefault="005629BF"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El contexto de las desapariciones forzadas en Perú tuvo su apogeo durante los años de 1980 y </w:t>
      </w:r>
      <w:r w:rsidR="00DB1128">
        <w:rPr>
          <w:rFonts w:ascii="PT Serif" w:hAnsi="PT Serif" w:cs="Times New Roman"/>
          <w:sz w:val="24"/>
          <w:szCs w:val="24"/>
        </w:rPr>
        <w:t>1990</w:t>
      </w:r>
      <w:r w:rsidRPr="000430DB">
        <w:rPr>
          <w:rFonts w:ascii="PT Serif" w:hAnsi="PT Serif" w:cs="Times New Roman"/>
          <w:sz w:val="24"/>
          <w:szCs w:val="24"/>
        </w:rPr>
        <w:t xml:space="preserve"> derivado del conflicto armado interno</w:t>
      </w:r>
      <w:r w:rsidR="00E2589F" w:rsidRPr="000430DB">
        <w:rPr>
          <w:rFonts w:ascii="PT Serif" w:hAnsi="PT Serif" w:cs="Times New Roman"/>
          <w:sz w:val="24"/>
          <w:szCs w:val="24"/>
        </w:rPr>
        <w:t xml:space="preserve"> (también denominado “guerra popular”)</w:t>
      </w:r>
      <w:r w:rsidRPr="000430DB">
        <w:rPr>
          <w:rFonts w:ascii="PT Serif" w:hAnsi="PT Serif" w:cs="Times New Roman"/>
          <w:sz w:val="24"/>
          <w:szCs w:val="24"/>
        </w:rPr>
        <w:t xml:space="preserve"> que </w:t>
      </w:r>
      <w:r w:rsidR="00F5742D" w:rsidRPr="000430DB">
        <w:rPr>
          <w:rFonts w:ascii="PT Serif" w:hAnsi="PT Serif" w:cs="Times New Roman"/>
          <w:sz w:val="24"/>
          <w:szCs w:val="24"/>
        </w:rPr>
        <w:t xml:space="preserve">se </w:t>
      </w:r>
      <w:r w:rsidRPr="000430DB">
        <w:rPr>
          <w:rFonts w:ascii="PT Serif" w:hAnsi="PT Serif" w:cs="Times New Roman"/>
          <w:sz w:val="24"/>
          <w:szCs w:val="24"/>
        </w:rPr>
        <w:t xml:space="preserve">suscitó </w:t>
      </w:r>
      <w:r w:rsidR="00F5742D" w:rsidRPr="000430DB">
        <w:rPr>
          <w:rFonts w:ascii="PT Serif" w:hAnsi="PT Serif" w:cs="Times New Roman"/>
          <w:sz w:val="24"/>
          <w:szCs w:val="24"/>
        </w:rPr>
        <w:t>entre el</w:t>
      </w:r>
      <w:r w:rsidRPr="000430DB">
        <w:rPr>
          <w:rFonts w:ascii="PT Serif" w:hAnsi="PT Serif" w:cs="Times New Roman"/>
          <w:sz w:val="24"/>
          <w:szCs w:val="24"/>
        </w:rPr>
        <w:t xml:space="preserve"> “Partido Comunista del Perú–Sendero Luminoso</w:t>
      </w:r>
      <w:r w:rsidR="00E2589F" w:rsidRPr="000430DB">
        <w:rPr>
          <w:rFonts w:ascii="PT Serif" w:hAnsi="PT Serif" w:cs="Times New Roman"/>
          <w:sz w:val="24"/>
          <w:szCs w:val="24"/>
        </w:rPr>
        <w:t xml:space="preserve">” (PCP-SL) </w:t>
      </w:r>
      <w:r w:rsidR="00F5742D" w:rsidRPr="000430DB">
        <w:rPr>
          <w:rFonts w:ascii="PT Serif" w:hAnsi="PT Serif" w:cs="Times New Roman"/>
          <w:sz w:val="24"/>
          <w:szCs w:val="24"/>
        </w:rPr>
        <w:t>y</w:t>
      </w:r>
      <w:r w:rsidR="000727EC" w:rsidRPr="000430DB">
        <w:rPr>
          <w:rFonts w:ascii="PT Serif" w:hAnsi="PT Serif" w:cs="Times New Roman"/>
          <w:sz w:val="24"/>
          <w:szCs w:val="24"/>
        </w:rPr>
        <w:t xml:space="preserve"> el </w:t>
      </w:r>
      <w:r w:rsidR="00070477" w:rsidRPr="000430DB">
        <w:rPr>
          <w:rFonts w:ascii="PT Serif" w:hAnsi="PT Serif" w:cs="Times New Roman"/>
          <w:sz w:val="24"/>
          <w:szCs w:val="24"/>
        </w:rPr>
        <w:t>“</w:t>
      </w:r>
      <w:r w:rsidR="000727EC" w:rsidRPr="000430DB">
        <w:rPr>
          <w:rFonts w:ascii="PT Serif" w:hAnsi="PT Serif" w:cs="Times New Roman"/>
          <w:sz w:val="24"/>
          <w:szCs w:val="24"/>
        </w:rPr>
        <w:t>Movimiento Revolucionario Túpac Amaru</w:t>
      </w:r>
      <w:r w:rsidR="00070477" w:rsidRPr="000430DB">
        <w:rPr>
          <w:rFonts w:ascii="PT Serif" w:hAnsi="PT Serif" w:cs="Times New Roman"/>
          <w:sz w:val="24"/>
          <w:szCs w:val="24"/>
        </w:rPr>
        <w:t>”</w:t>
      </w:r>
      <w:r w:rsidR="000727EC" w:rsidRPr="000430DB">
        <w:rPr>
          <w:rFonts w:ascii="PT Serif" w:hAnsi="PT Serif" w:cs="Times New Roman"/>
          <w:sz w:val="24"/>
          <w:szCs w:val="24"/>
        </w:rPr>
        <w:t xml:space="preserve"> (MRTA) contra </w:t>
      </w:r>
      <w:r w:rsidR="00E2589F" w:rsidRPr="000430DB">
        <w:rPr>
          <w:rFonts w:ascii="PT Serif" w:hAnsi="PT Serif" w:cs="Times New Roman"/>
          <w:sz w:val="24"/>
          <w:szCs w:val="24"/>
        </w:rPr>
        <w:t xml:space="preserve">el </w:t>
      </w:r>
      <w:r w:rsidR="006419C4" w:rsidRPr="000430DB">
        <w:rPr>
          <w:rFonts w:ascii="PT Serif" w:hAnsi="PT Serif" w:cs="Times New Roman"/>
          <w:sz w:val="24"/>
          <w:szCs w:val="24"/>
        </w:rPr>
        <w:t>país peruano</w:t>
      </w:r>
      <w:r w:rsidR="00F5742D" w:rsidRPr="000430DB">
        <w:rPr>
          <w:rFonts w:ascii="PT Serif" w:hAnsi="PT Serif" w:cs="Times New Roman"/>
          <w:sz w:val="24"/>
          <w:szCs w:val="24"/>
        </w:rPr>
        <w:t xml:space="preserve">, </w:t>
      </w:r>
      <w:r w:rsidR="00E2589F" w:rsidRPr="000430DB">
        <w:rPr>
          <w:rFonts w:ascii="PT Serif" w:hAnsi="PT Serif" w:cs="Times New Roman"/>
          <w:sz w:val="24"/>
          <w:szCs w:val="24"/>
        </w:rPr>
        <w:t>quien se vio en la necesidad de declarar determinadas zonas en estado de emergencia y entregar el control político a las fuerzas militares</w:t>
      </w:r>
      <w:r w:rsidR="00C85039" w:rsidRPr="000430DB">
        <w:rPr>
          <w:rFonts w:ascii="PT Serif" w:hAnsi="PT Serif" w:cs="Times New Roman"/>
          <w:sz w:val="24"/>
          <w:szCs w:val="24"/>
        </w:rPr>
        <w:t xml:space="preserve"> (Cano, 2020</w:t>
      </w:r>
      <w:r w:rsidR="00543F76" w:rsidRPr="000430DB">
        <w:rPr>
          <w:rFonts w:ascii="PT Serif" w:hAnsi="PT Serif" w:cs="Times New Roman"/>
          <w:sz w:val="24"/>
          <w:szCs w:val="24"/>
        </w:rPr>
        <w:t>,</w:t>
      </w:r>
      <w:r w:rsidR="00C85039" w:rsidRPr="000430DB">
        <w:rPr>
          <w:rFonts w:ascii="PT Serif" w:hAnsi="PT Serif" w:cs="Times New Roman"/>
          <w:sz w:val="24"/>
          <w:szCs w:val="24"/>
        </w:rPr>
        <w:t xml:space="preserve"> p. 455)</w:t>
      </w:r>
      <w:r w:rsidR="00E2589F" w:rsidRPr="000430DB">
        <w:rPr>
          <w:rFonts w:ascii="PT Serif" w:hAnsi="PT Serif" w:cs="Times New Roman"/>
          <w:sz w:val="24"/>
          <w:szCs w:val="24"/>
        </w:rPr>
        <w:t>.</w:t>
      </w:r>
    </w:p>
    <w:p w14:paraId="3A5EFFDF" w14:textId="5A6B8411" w:rsidR="00EF64E3" w:rsidRDefault="000727EC"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Lo anterior produjo</w:t>
      </w:r>
      <w:r w:rsidR="00C85039" w:rsidRPr="000430DB">
        <w:rPr>
          <w:rFonts w:ascii="PT Serif" w:hAnsi="PT Serif" w:cs="Times New Roman"/>
          <w:sz w:val="24"/>
          <w:szCs w:val="24"/>
        </w:rPr>
        <w:t>, de conformidad con la Comisión de Verdad y Reconciliación ([CVR], 2003)</w:t>
      </w:r>
      <w:r w:rsidR="00E425E2" w:rsidRPr="000430DB">
        <w:rPr>
          <w:rFonts w:ascii="PT Serif" w:hAnsi="PT Serif" w:cs="Times New Roman"/>
          <w:sz w:val="24"/>
          <w:szCs w:val="24"/>
        </w:rPr>
        <w:t>, una</w:t>
      </w:r>
      <w:r w:rsidR="00AE7A63">
        <w:rPr>
          <w:rFonts w:ascii="PT Serif" w:hAnsi="PT Serif" w:cs="Times New Roman"/>
          <w:sz w:val="24"/>
          <w:szCs w:val="24"/>
        </w:rPr>
        <w:t xml:space="preserve"> </w:t>
      </w:r>
      <w:r w:rsidR="00801AD6" w:rsidRPr="000430DB">
        <w:rPr>
          <w:rFonts w:ascii="PT Serif" w:hAnsi="PT Serif" w:cs="Times New Roman"/>
          <w:sz w:val="24"/>
          <w:szCs w:val="24"/>
        </w:rPr>
        <w:t>“</w:t>
      </w:r>
      <w:r w:rsidRPr="000430DB">
        <w:rPr>
          <w:rFonts w:ascii="PT Serif" w:hAnsi="PT Serif" w:cs="Times New Roman"/>
          <w:sz w:val="24"/>
          <w:szCs w:val="24"/>
        </w:rPr>
        <w:t>práctica sistemática y generalizada de desapariciones forzadas como parte de una estrategia antisubversiva proveniente, principalmente</w:t>
      </w:r>
      <w:r w:rsidR="00276A41">
        <w:rPr>
          <w:rFonts w:ascii="PT Serif" w:hAnsi="PT Serif" w:cs="Times New Roman"/>
          <w:sz w:val="24"/>
          <w:szCs w:val="24"/>
        </w:rPr>
        <w:t xml:space="preserve"> </w:t>
      </w:r>
      <w:r w:rsidRPr="000430DB">
        <w:rPr>
          <w:rFonts w:ascii="PT Serif" w:hAnsi="PT Serif" w:cs="Times New Roman"/>
          <w:sz w:val="24"/>
          <w:szCs w:val="24"/>
        </w:rPr>
        <w:t>de las Fuerzas Armadas, generando cifras de 8,558 personas desaparecidas</w:t>
      </w:r>
      <w:r w:rsidR="00801AD6" w:rsidRPr="000430DB">
        <w:rPr>
          <w:rFonts w:ascii="PT Serif" w:hAnsi="PT Serif" w:cs="Times New Roman"/>
          <w:sz w:val="24"/>
          <w:szCs w:val="24"/>
        </w:rPr>
        <w:t>”</w:t>
      </w:r>
      <w:r w:rsidR="00E425E2" w:rsidRPr="000430DB">
        <w:rPr>
          <w:rFonts w:ascii="PT Serif" w:hAnsi="PT Serif" w:cs="Times New Roman"/>
          <w:sz w:val="24"/>
          <w:szCs w:val="24"/>
        </w:rPr>
        <w:t xml:space="preserve">. Este mecanismo de desapariciones permitía: (i) obtener información para identificar a miembros o simpatizantes de organizaciones subversivas; (ii) eliminar a los detenidos sin dejar rastros de los responsables; y (iii) acelerar la victoria militar evitando procedimientos policiales complejos para ubicar y procesar a los insurgentes </w:t>
      </w:r>
      <w:r w:rsidR="00C85039" w:rsidRPr="000430DB">
        <w:rPr>
          <w:rFonts w:ascii="PT Serif" w:hAnsi="PT Serif" w:cs="Times New Roman"/>
          <w:sz w:val="24"/>
          <w:szCs w:val="24"/>
        </w:rPr>
        <w:t>(como se citó en Lengua y Mendoza, 2016, p</w:t>
      </w:r>
      <w:r w:rsidR="00E425E2" w:rsidRPr="000430DB">
        <w:rPr>
          <w:rFonts w:ascii="PT Serif" w:hAnsi="PT Serif" w:cs="Times New Roman"/>
          <w:sz w:val="24"/>
          <w:szCs w:val="24"/>
        </w:rPr>
        <w:t>p. 280-283</w:t>
      </w:r>
      <w:r w:rsidR="00C85039" w:rsidRPr="000430DB">
        <w:rPr>
          <w:rFonts w:ascii="PT Serif" w:hAnsi="PT Serif" w:cs="Times New Roman"/>
          <w:sz w:val="24"/>
          <w:szCs w:val="24"/>
        </w:rPr>
        <w:t>)</w:t>
      </w:r>
      <w:r w:rsidRPr="000430DB">
        <w:rPr>
          <w:rFonts w:ascii="PT Serif" w:hAnsi="PT Serif" w:cs="Times New Roman"/>
          <w:sz w:val="24"/>
          <w:szCs w:val="24"/>
        </w:rPr>
        <w:t>.</w:t>
      </w:r>
      <w:r w:rsidR="008C16D5" w:rsidRPr="000430DB">
        <w:rPr>
          <w:rFonts w:ascii="PT Serif" w:hAnsi="PT Serif" w:cs="Times New Roman"/>
          <w:sz w:val="24"/>
          <w:szCs w:val="24"/>
        </w:rPr>
        <w:t xml:space="preserve"> </w:t>
      </w:r>
    </w:p>
    <w:p w14:paraId="07342001" w14:textId="594D121E" w:rsidR="007B712B" w:rsidRDefault="007B712B"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Dentro de las </w:t>
      </w:r>
      <w:r w:rsidR="000641D6">
        <w:rPr>
          <w:rFonts w:ascii="PT Serif" w:hAnsi="PT Serif" w:cs="Times New Roman"/>
          <w:sz w:val="24"/>
          <w:szCs w:val="24"/>
        </w:rPr>
        <w:t>medidas vinculadas a contrarrestar esta situación,</w:t>
      </w:r>
      <w:r>
        <w:rPr>
          <w:rFonts w:ascii="PT Serif" w:hAnsi="PT Serif" w:cs="Times New Roman"/>
          <w:sz w:val="24"/>
          <w:szCs w:val="24"/>
        </w:rPr>
        <w:t xml:space="preserve"> </w:t>
      </w:r>
      <w:r w:rsidR="000641D6">
        <w:rPr>
          <w:rFonts w:ascii="PT Serif" w:hAnsi="PT Serif" w:cs="Times New Roman"/>
          <w:sz w:val="24"/>
          <w:szCs w:val="24"/>
        </w:rPr>
        <w:t xml:space="preserve">yació la tipificación del delito </w:t>
      </w:r>
      <w:r w:rsidR="003450D9">
        <w:rPr>
          <w:rFonts w:ascii="PT Serif" w:hAnsi="PT Serif" w:cs="Times New Roman"/>
          <w:sz w:val="24"/>
          <w:szCs w:val="24"/>
        </w:rPr>
        <w:t xml:space="preserve">en la </w:t>
      </w:r>
      <w:r w:rsidR="003450D9" w:rsidRPr="003450D9">
        <w:rPr>
          <w:rFonts w:ascii="PT Serif" w:hAnsi="PT Serif" w:cs="Times New Roman"/>
          <w:sz w:val="24"/>
          <w:szCs w:val="24"/>
        </w:rPr>
        <w:t>Ley N.º 30475</w:t>
      </w:r>
      <w:r w:rsidR="003450D9">
        <w:rPr>
          <w:rFonts w:ascii="PT Serif" w:hAnsi="PT Serif" w:cs="Times New Roman"/>
          <w:sz w:val="24"/>
          <w:szCs w:val="24"/>
        </w:rPr>
        <w:t xml:space="preserve"> (Código Penal), la implementación de la Ley </w:t>
      </w:r>
      <w:r w:rsidR="003450D9" w:rsidRPr="003450D9">
        <w:rPr>
          <w:rFonts w:ascii="PT Serif" w:hAnsi="PT Serif" w:cs="Times New Roman"/>
          <w:sz w:val="24"/>
          <w:szCs w:val="24"/>
        </w:rPr>
        <w:t>N.º 30470</w:t>
      </w:r>
      <w:r w:rsidR="003450D9">
        <w:rPr>
          <w:rFonts w:ascii="PT Serif" w:hAnsi="PT Serif" w:cs="Times New Roman"/>
          <w:sz w:val="24"/>
          <w:szCs w:val="24"/>
        </w:rPr>
        <w:t xml:space="preserve"> (</w:t>
      </w:r>
      <w:r w:rsidR="003450D9" w:rsidRPr="003450D9">
        <w:rPr>
          <w:rFonts w:ascii="PT Serif" w:hAnsi="PT Serif" w:cs="Times New Roman"/>
          <w:sz w:val="24"/>
          <w:szCs w:val="24"/>
        </w:rPr>
        <w:t>Ley de Búsqueda de Personas Desaparecidas durante el período de violencia 1980-200</w:t>
      </w:r>
      <w:r w:rsidR="003450D9">
        <w:rPr>
          <w:rFonts w:ascii="PT Serif" w:hAnsi="PT Serif" w:cs="Times New Roman"/>
          <w:sz w:val="24"/>
          <w:szCs w:val="24"/>
        </w:rPr>
        <w:t xml:space="preserve">0), la creación del </w:t>
      </w:r>
      <w:r w:rsidR="003450D9" w:rsidRPr="003450D9">
        <w:rPr>
          <w:rFonts w:ascii="PT Serif" w:hAnsi="PT Serif" w:cs="Times New Roman"/>
          <w:sz w:val="24"/>
          <w:szCs w:val="24"/>
        </w:rPr>
        <w:t>Registro Nacional de Personas Desaparecidas y de Sitios de Entierro</w:t>
      </w:r>
      <w:r w:rsidR="003450D9">
        <w:rPr>
          <w:rFonts w:ascii="PT Serif" w:hAnsi="PT Serif" w:cs="Times New Roman"/>
          <w:sz w:val="24"/>
          <w:szCs w:val="24"/>
        </w:rPr>
        <w:t>,</w:t>
      </w:r>
      <w:r w:rsidR="000641D6">
        <w:rPr>
          <w:rFonts w:ascii="PT Serif" w:hAnsi="PT Serif" w:cs="Times New Roman"/>
          <w:sz w:val="24"/>
          <w:szCs w:val="24"/>
        </w:rPr>
        <w:t xml:space="preserve"> así como la adherencia a la </w:t>
      </w:r>
      <w:r w:rsidR="008F77EF">
        <w:rPr>
          <w:rFonts w:ascii="PT Serif" w:hAnsi="PT Serif" w:cs="Times New Roman"/>
          <w:sz w:val="24"/>
          <w:szCs w:val="24"/>
        </w:rPr>
        <w:t>CIDF</w:t>
      </w:r>
      <w:r w:rsidR="000641D6">
        <w:rPr>
          <w:rFonts w:ascii="PT Serif" w:hAnsi="PT Serif" w:cs="Times New Roman"/>
          <w:sz w:val="24"/>
          <w:szCs w:val="24"/>
        </w:rPr>
        <w:t xml:space="preserve"> y </w:t>
      </w:r>
      <w:r w:rsidR="00E84B96" w:rsidRPr="00074E2D">
        <w:rPr>
          <w:rFonts w:ascii="PT Serif" w:hAnsi="PT Serif" w:cs="Times New Roman"/>
          <w:sz w:val="24"/>
          <w:szCs w:val="24"/>
        </w:rPr>
        <w:t>a</w:t>
      </w:r>
      <w:r w:rsidR="00E84B96">
        <w:rPr>
          <w:rFonts w:ascii="PT Serif" w:hAnsi="PT Serif" w:cs="Times New Roman"/>
          <w:sz w:val="24"/>
          <w:szCs w:val="24"/>
        </w:rPr>
        <w:t xml:space="preserve"> </w:t>
      </w:r>
      <w:r w:rsidR="000641D6">
        <w:rPr>
          <w:rFonts w:ascii="PT Serif" w:hAnsi="PT Serif" w:cs="Times New Roman"/>
          <w:sz w:val="24"/>
          <w:szCs w:val="24"/>
        </w:rPr>
        <w:t xml:space="preserve">la Convención Internacional de la </w:t>
      </w:r>
      <w:r w:rsidR="000641D6">
        <w:rPr>
          <w:rFonts w:ascii="PT Serif" w:hAnsi="PT Serif" w:cs="Times New Roman"/>
          <w:sz w:val="24"/>
          <w:szCs w:val="24"/>
        </w:rPr>
        <w:lastRenderedPageBreak/>
        <w:t xml:space="preserve">Organización de Naciones Unidas (ONU) que en seguimiento al reciente pronunciamiento de la ONU, parece que no han tenido la repercusión buscada, ya que la contraposición de leyes como la </w:t>
      </w:r>
      <w:r w:rsidR="00AE7A63">
        <w:rPr>
          <w:rFonts w:ascii="PT Serif" w:hAnsi="PT Serif" w:cs="Times New Roman"/>
          <w:sz w:val="24"/>
          <w:szCs w:val="24"/>
        </w:rPr>
        <w:t xml:space="preserve">Ley N° </w:t>
      </w:r>
      <w:r w:rsidR="000641D6">
        <w:rPr>
          <w:rFonts w:ascii="PT Serif" w:hAnsi="PT Serif" w:cs="Times New Roman"/>
          <w:sz w:val="24"/>
          <w:szCs w:val="24"/>
        </w:rPr>
        <w:t>32107, mejor conocida como la Ley de Impunidad, ha</w:t>
      </w:r>
      <w:r w:rsidR="00007D07">
        <w:rPr>
          <w:rFonts w:ascii="PT Serif" w:hAnsi="PT Serif" w:cs="Times New Roman"/>
          <w:sz w:val="24"/>
          <w:szCs w:val="24"/>
        </w:rPr>
        <w:t>n</w:t>
      </w:r>
      <w:r w:rsidR="000641D6">
        <w:rPr>
          <w:rFonts w:ascii="PT Serif" w:hAnsi="PT Serif" w:cs="Times New Roman"/>
          <w:sz w:val="24"/>
          <w:szCs w:val="24"/>
        </w:rPr>
        <w:t xml:space="preserve"> </w:t>
      </w:r>
      <w:r w:rsidR="00007D07">
        <w:rPr>
          <w:rFonts w:ascii="PT Serif" w:hAnsi="PT Serif" w:cs="Times New Roman"/>
          <w:sz w:val="24"/>
          <w:szCs w:val="24"/>
        </w:rPr>
        <w:t>permitido</w:t>
      </w:r>
      <w:r w:rsidR="000641D6">
        <w:rPr>
          <w:rFonts w:ascii="PT Serif" w:hAnsi="PT Serif" w:cs="Times New Roman"/>
          <w:sz w:val="24"/>
          <w:szCs w:val="24"/>
        </w:rPr>
        <w:t xml:space="preserve"> la prescripción de delitos de lesa humanidad, incluyéndose la desaparición forzada. </w:t>
      </w:r>
    </w:p>
    <w:p w14:paraId="37253FA0" w14:textId="73180987" w:rsidR="001A526E" w:rsidRDefault="00007D07" w:rsidP="007B0ED6">
      <w:pPr>
        <w:spacing w:line="360" w:lineRule="auto"/>
        <w:ind w:firstLine="720"/>
        <w:jc w:val="both"/>
        <w:rPr>
          <w:rFonts w:ascii="PT Serif" w:hAnsi="PT Serif" w:cs="Times New Roman"/>
          <w:sz w:val="24"/>
          <w:szCs w:val="24"/>
        </w:rPr>
      </w:pPr>
      <w:r>
        <w:rPr>
          <w:rFonts w:ascii="PT Serif" w:hAnsi="PT Serif" w:cs="Times New Roman"/>
          <w:sz w:val="24"/>
          <w:szCs w:val="24"/>
        </w:rPr>
        <w:t>Postergándose en consecuencia, junto a los efectos permanentes e inacabados del delito con relación a no encontrarse el paradero de la víctimas o sus restos (CoIDH, 2010, p. 27), una categorización de insuficiencia a dichas medidas que han alcanzado impactos fuera de lo lega</w:t>
      </w:r>
      <w:r w:rsidR="001A526E">
        <w:rPr>
          <w:rFonts w:ascii="PT Serif" w:hAnsi="PT Serif" w:cs="Times New Roman"/>
          <w:sz w:val="24"/>
          <w:szCs w:val="24"/>
        </w:rPr>
        <w:t>l</w:t>
      </w:r>
      <w:r w:rsidR="0028634D">
        <w:rPr>
          <w:rFonts w:ascii="PT Serif" w:hAnsi="PT Serif" w:cs="Times New Roman"/>
          <w:sz w:val="24"/>
          <w:szCs w:val="24"/>
        </w:rPr>
        <w:t xml:space="preserve">, debido a que </w:t>
      </w:r>
      <w:r w:rsidR="001A526E">
        <w:rPr>
          <w:rFonts w:ascii="PT Serif" w:hAnsi="PT Serif" w:cs="Times New Roman"/>
          <w:sz w:val="24"/>
          <w:szCs w:val="24"/>
        </w:rPr>
        <w:t xml:space="preserve">también </w:t>
      </w:r>
      <w:r>
        <w:rPr>
          <w:rFonts w:ascii="PT Serif" w:hAnsi="PT Serif" w:cs="Times New Roman"/>
          <w:sz w:val="24"/>
          <w:szCs w:val="24"/>
        </w:rPr>
        <w:t xml:space="preserve">ha </w:t>
      </w:r>
      <w:r w:rsidR="001A526E">
        <w:rPr>
          <w:rFonts w:ascii="PT Serif" w:hAnsi="PT Serif" w:cs="Times New Roman"/>
          <w:sz w:val="24"/>
          <w:szCs w:val="24"/>
        </w:rPr>
        <w:t xml:space="preserve">provocado el </w:t>
      </w:r>
      <w:r>
        <w:rPr>
          <w:rFonts w:ascii="PT Serif" w:hAnsi="PT Serif" w:cs="Times New Roman"/>
          <w:sz w:val="24"/>
          <w:szCs w:val="24"/>
        </w:rPr>
        <w:t>cambi</w:t>
      </w:r>
      <w:r w:rsidR="001A526E">
        <w:rPr>
          <w:rFonts w:ascii="PT Serif" w:hAnsi="PT Serif" w:cs="Times New Roman"/>
          <w:sz w:val="24"/>
          <w:szCs w:val="24"/>
        </w:rPr>
        <w:t>o de</w:t>
      </w:r>
      <w:r>
        <w:rPr>
          <w:rFonts w:ascii="PT Serif" w:hAnsi="PT Serif" w:cs="Times New Roman"/>
          <w:sz w:val="24"/>
          <w:szCs w:val="24"/>
        </w:rPr>
        <w:t xml:space="preserve"> la perspectiva de comunidades indígenas que han sido las principales víctimas</w:t>
      </w:r>
      <w:r w:rsidR="00AF4E97">
        <w:rPr>
          <w:rFonts w:ascii="PT Serif" w:hAnsi="PT Serif" w:cs="Times New Roman"/>
          <w:sz w:val="24"/>
          <w:szCs w:val="24"/>
        </w:rPr>
        <w:t xml:space="preserve"> de</w:t>
      </w:r>
      <w:r>
        <w:rPr>
          <w:rFonts w:ascii="PT Serif" w:hAnsi="PT Serif" w:cs="Times New Roman"/>
          <w:sz w:val="24"/>
          <w:szCs w:val="24"/>
        </w:rPr>
        <w:t xml:space="preserve"> </w:t>
      </w:r>
      <w:r w:rsidR="001A526E">
        <w:rPr>
          <w:rFonts w:ascii="PT Serif" w:hAnsi="PT Serif" w:cs="Times New Roman"/>
          <w:sz w:val="24"/>
          <w:szCs w:val="24"/>
        </w:rPr>
        <w:t>este</w:t>
      </w:r>
      <w:r>
        <w:rPr>
          <w:rFonts w:ascii="PT Serif" w:hAnsi="PT Serif" w:cs="Times New Roman"/>
          <w:sz w:val="24"/>
          <w:szCs w:val="24"/>
        </w:rPr>
        <w:t xml:space="preserve"> </w:t>
      </w:r>
      <w:r w:rsidR="001A526E">
        <w:rPr>
          <w:rFonts w:ascii="PT Serif" w:hAnsi="PT Serif" w:cs="Times New Roman"/>
          <w:sz w:val="24"/>
          <w:szCs w:val="24"/>
        </w:rPr>
        <w:t>fenómeno</w:t>
      </w:r>
      <w:r>
        <w:rPr>
          <w:rFonts w:ascii="PT Serif" w:hAnsi="PT Serif" w:cs="Times New Roman"/>
          <w:sz w:val="24"/>
          <w:szCs w:val="24"/>
        </w:rPr>
        <w:t>.</w:t>
      </w:r>
    </w:p>
    <w:p w14:paraId="00F8EE9F" w14:textId="0DC5E639" w:rsidR="00007D07" w:rsidRPr="000430DB" w:rsidRDefault="001A526E"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Propiamente, este abandono institucional, ha incidido </w:t>
      </w:r>
      <w:r w:rsidR="00E93B88">
        <w:rPr>
          <w:rFonts w:ascii="PT Serif" w:hAnsi="PT Serif" w:cs="Times New Roman"/>
          <w:sz w:val="24"/>
          <w:szCs w:val="24"/>
        </w:rPr>
        <w:t xml:space="preserve">culturalmente hablando, fuera de lo comúnmente conocido sobre la indignación y la preocupación social, </w:t>
      </w:r>
      <w:r>
        <w:rPr>
          <w:rFonts w:ascii="PT Serif" w:hAnsi="PT Serif" w:cs="Times New Roman"/>
          <w:sz w:val="24"/>
          <w:szCs w:val="24"/>
        </w:rPr>
        <w:t xml:space="preserve">en que </w:t>
      </w:r>
      <w:r w:rsidR="0028634D">
        <w:rPr>
          <w:rFonts w:ascii="PT Serif" w:hAnsi="PT Serif" w:cs="Times New Roman"/>
          <w:sz w:val="24"/>
          <w:szCs w:val="24"/>
        </w:rPr>
        <w:t>ciertos grupos</w:t>
      </w:r>
      <w:r>
        <w:rPr>
          <w:rFonts w:ascii="PT Serif" w:hAnsi="PT Serif" w:cs="Times New Roman"/>
          <w:sz w:val="24"/>
          <w:szCs w:val="24"/>
        </w:rPr>
        <w:t xml:space="preserve"> reconfiguraran sus</w:t>
      </w:r>
      <w:r w:rsidR="0028634D">
        <w:rPr>
          <w:rFonts w:ascii="PT Serif" w:hAnsi="PT Serif" w:cs="Times New Roman"/>
          <w:sz w:val="24"/>
          <w:szCs w:val="24"/>
        </w:rPr>
        <w:t xml:space="preserve"> creencias,</w:t>
      </w:r>
      <w:r>
        <w:rPr>
          <w:rFonts w:ascii="PT Serif" w:hAnsi="PT Serif" w:cs="Times New Roman"/>
          <w:sz w:val="24"/>
          <w:szCs w:val="24"/>
        </w:rPr>
        <w:t xml:space="preserve"> lazos y estructuras de apoyo</w:t>
      </w:r>
      <w:r w:rsidR="0028634D">
        <w:rPr>
          <w:rFonts w:ascii="PT Serif" w:hAnsi="PT Serif" w:cs="Times New Roman"/>
          <w:sz w:val="24"/>
          <w:szCs w:val="24"/>
        </w:rPr>
        <w:t xml:space="preserve"> </w:t>
      </w:r>
      <w:r>
        <w:rPr>
          <w:rFonts w:ascii="PT Serif" w:hAnsi="PT Serif" w:cs="Times New Roman"/>
          <w:sz w:val="24"/>
          <w:szCs w:val="24"/>
        </w:rPr>
        <w:t xml:space="preserve">para mitigar el dolor de ausencia de sus seres queridos. Esto se refleja, tomando como ejemplo la comunidad Andina, en la creencia de que los sueños pueden ser la guía para encontrar a los desaparecidos </w:t>
      </w:r>
      <w:r w:rsidR="0028634D">
        <w:rPr>
          <w:rFonts w:ascii="PT Serif" w:hAnsi="PT Serif" w:cs="Times New Roman"/>
          <w:sz w:val="24"/>
          <w:szCs w:val="24"/>
        </w:rPr>
        <w:t>al éstos indicarles su ubicación. Otra manera se revindica en el mantenimiento de las ropas de sus familiares como un modo de atraerlos hacia ellos (</w:t>
      </w:r>
      <w:r w:rsidR="0028634D" w:rsidRPr="0028634D">
        <w:rPr>
          <w:rFonts w:ascii="PT Serif" w:hAnsi="PT Serif" w:cs="Times New Roman"/>
          <w:sz w:val="24"/>
          <w:szCs w:val="24"/>
        </w:rPr>
        <w:t>Delacroix</w:t>
      </w:r>
      <w:r w:rsidR="0028634D">
        <w:rPr>
          <w:rFonts w:ascii="PT Serif" w:hAnsi="PT Serif" w:cs="Times New Roman"/>
          <w:sz w:val="24"/>
          <w:szCs w:val="24"/>
        </w:rPr>
        <w:t xml:space="preserve">, 2020, p. 69).  </w:t>
      </w:r>
    </w:p>
    <w:p w14:paraId="1C61A158" w14:textId="348E3367" w:rsidR="00204339" w:rsidRPr="000430DB" w:rsidRDefault="004A4C29" w:rsidP="007B0ED6">
      <w:pPr>
        <w:spacing w:line="360" w:lineRule="auto"/>
        <w:ind w:firstLine="720"/>
        <w:jc w:val="both"/>
        <w:rPr>
          <w:rFonts w:ascii="PT Serif" w:hAnsi="PT Serif" w:cs="Times New Roman"/>
          <w:sz w:val="24"/>
          <w:szCs w:val="24"/>
        </w:rPr>
      </w:pPr>
      <w:bookmarkStart w:id="4" w:name="_Hlk189555174"/>
      <w:r>
        <w:rPr>
          <w:rFonts w:ascii="PT Serif" w:hAnsi="PT Serif" w:cs="Times New Roman"/>
          <w:sz w:val="24"/>
          <w:szCs w:val="24"/>
        </w:rPr>
        <w:t>Para</w:t>
      </w:r>
      <w:r w:rsidR="000C4B30">
        <w:rPr>
          <w:rFonts w:ascii="PT Serif" w:hAnsi="PT Serif" w:cs="Times New Roman"/>
          <w:sz w:val="24"/>
          <w:szCs w:val="24"/>
        </w:rPr>
        <w:t xml:space="preserve"> el caso mexicano, a</w:t>
      </w:r>
      <w:r w:rsidR="00F35AE0" w:rsidRPr="000430DB">
        <w:rPr>
          <w:rFonts w:ascii="PT Serif" w:hAnsi="PT Serif" w:cs="Times New Roman"/>
          <w:sz w:val="24"/>
          <w:szCs w:val="24"/>
        </w:rPr>
        <w:t xml:space="preserve"> diferencia de Perú, e</w:t>
      </w:r>
      <w:r w:rsidR="00204339" w:rsidRPr="000430DB">
        <w:rPr>
          <w:rFonts w:ascii="PT Serif" w:hAnsi="PT Serif" w:cs="Times New Roman"/>
          <w:sz w:val="24"/>
          <w:szCs w:val="24"/>
        </w:rPr>
        <w:t xml:space="preserve">l impulso que tuvo la desaparición forzada </w:t>
      </w:r>
      <w:r w:rsidR="00F35AE0" w:rsidRPr="000430DB">
        <w:rPr>
          <w:rFonts w:ascii="PT Serif" w:hAnsi="PT Serif" w:cs="Times New Roman"/>
          <w:sz w:val="24"/>
          <w:szCs w:val="24"/>
        </w:rPr>
        <w:t>guarda connotaciones más extensivas</w:t>
      </w:r>
      <w:r w:rsidR="00AF4E97">
        <w:rPr>
          <w:rFonts w:ascii="PT Serif" w:hAnsi="PT Serif" w:cs="Times New Roman"/>
          <w:sz w:val="24"/>
          <w:szCs w:val="24"/>
        </w:rPr>
        <w:t xml:space="preserve">, al menos dentro del terreno de las causas que han provocado la actualización de este fenómeno. La desaparición forzada tiene sus inicios </w:t>
      </w:r>
      <w:r w:rsidR="00FF5F91" w:rsidRPr="000430DB">
        <w:rPr>
          <w:rFonts w:ascii="PT Serif" w:hAnsi="PT Serif" w:cs="Times New Roman"/>
          <w:sz w:val="24"/>
          <w:szCs w:val="24"/>
        </w:rPr>
        <w:t>a</w:t>
      </w:r>
      <w:r w:rsidR="009152F4" w:rsidRPr="000430DB">
        <w:rPr>
          <w:rFonts w:ascii="PT Serif" w:hAnsi="PT Serif" w:cs="Times New Roman"/>
          <w:sz w:val="24"/>
          <w:szCs w:val="24"/>
        </w:rPr>
        <w:t xml:space="preserve"> partir de su consideración</w:t>
      </w:r>
      <w:r w:rsidR="00FF5F91" w:rsidRPr="000430DB">
        <w:rPr>
          <w:rFonts w:ascii="PT Serif" w:hAnsi="PT Serif" w:cs="Times New Roman"/>
          <w:sz w:val="24"/>
          <w:szCs w:val="24"/>
        </w:rPr>
        <w:t xml:space="preserve"> como una categoría de represión política </w:t>
      </w:r>
      <w:r w:rsidR="003333C9" w:rsidRPr="000430DB">
        <w:rPr>
          <w:rFonts w:ascii="PT Serif" w:hAnsi="PT Serif" w:cs="Times New Roman"/>
          <w:sz w:val="24"/>
          <w:szCs w:val="24"/>
        </w:rPr>
        <w:t>derivado</w:t>
      </w:r>
      <w:r w:rsidR="00FF5F91" w:rsidRPr="000430DB">
        <w:rPr>
          <w:rFonts w:ascii="PT Serif" w:hAnsi="PT Serif" w:cs="Times New Roman"/>
          <w:sz w:val="24"/>
          <w:szCs w:val="24"/>
        </w:rPr>
        <w:t xml:space="preserve"> de acontecimientos ocurridos en 1968 </w:t>
      </w:r>
      <w:r w:rsidR="00370C34" w:rsidRPr="000430DB">
        <w:rPr>
          <w:rFonts w:ascii="PT Serif" w:hAnsi="PT Serif" w:cs="Times New Roman"/>
          <w:sz w:val="24"/>
          <w:szCs w:val="24"/>
        </w:rPr>
        <w:t>traducidos en la denominada</w:t>
      </w:r>
      <w:r w:rsidR="00FF5F91" w:rsidRPr="000430DB">
        <w:rPr>
          <w:rFonts w:ascii="PT Serif" w:hAnsi="PT Serif" w:cs="Times New Roman"/>
          <w:sz w:val="24"/>
          <w:szCs w:val="24"/>
        </w:rPr>
        <w:t xml:space="preserve"> “guerra sucia”</w:t>
      </w:r>
      <w:r w:rsidR="00E425E2" w:rsidRPr="000430DB">
        <w:rPr>
          <w:rFonts w:ascii="PT Serif" w:hAnsi="PT Serif" w:cs="Times New Roman"/>
          <w:sz w:val="24"/>
          <w:szCs w:val="24"/>
        </w:rPr>
        <w:t xml:space="preserve"> (</w:t>
      </w:r>
      <w:r w:rsidR="00212D56" w:rsidRPr="000430DB">
        <w:rPr>
          <w:rFonts w:ascii="PT Serif" w:hAnsi="PT Serif" w:cs="Times New Roman"/>
          <w:sz w:val="24"/>
          <w:szCs w:val="24"/>
        </w:rPr>
        <w:t>Robledo, 2016, p</w:t>
      </w:r>
      <w:r w:rsidR="009152F4" w:rsidRPr="000430DB">
        <w:rPr>
          <w:rFonts w:ascii="PT Serif" w:hAnsi="PT Serif" w:cs="Times New Roman"/>
          <w:sz w:val="24"/>
          <w:szCs w:val="24"/>
        </w:rPr>
        <w:t>.</w:t>
      </w:r>
      <w:r w:rsidR="00212D56" w:rsidRPr="000430DB">
        <w:rPr>
          <w:rFonts w:ascii="PT Serif" w:hAnsi="PT Serif" w:cs="Times New Roman"/>
          <w:sz w:val="24"/>
          <w:szCs w:val="24"/>
        </w:rPr>
        <w:t xml:space="preserve"> 99). </w:t>
      </w:r>
    </w:p>
    <w:bookmarkEnd w:id="4"/>
    <w:p w14:paraId="608482CC" w14:textId="47A087F9" w:rsidR="009152F4" w:rsidRPr="000430DB" w:rsidRDefault="00AF4E97" w:rsidP="007B0ED6">
      <w:pPr>
        <w:spacing w:line="360" w:lineRule="auto"/>
        <w:ind w:firstLine="720"/>
        <w:jc w:val="both"/>
        <w:rPr>
          <w:rFonts w:ascii="PT Serif" w:hAnsi="PT Serif" w:cs="Times New Roman"/>
          <w:sz w:val="24"/>
          <w:szCs w:val="24"/>
        </w:rPr>
      </w:pPr>
      <w:r>
        <w:rPr>
          <w:rFonts w:ascii="PT Serif" w:hAnsi="PT Serif" w:cs="Times New Roman"/>
          <w:sz w:val="24"/>
          <w:szCs w:val="24"/>
        </w:rPr>
        <w:lastRenderedPageBreak/>
        <w:t>Dicha guerra</w:t>
      </w:r>
      <w:r w:rsidR="0049241D" w:rsidRPr="000430DB">
        <w:rPr>
          <w:rFonts w:ascii="PT Serif" w:hAnsi="PT Serif" w:cs="Times New Roman"/>
          <w:sz w:val="24"/>
          <w:szCs w:val="24"/>
        </w:rPr>
        <w:t xml:space="preserve"> se entiende como un proceso ubicado dentro de los años de 1964 y 1985 que se “caracterizó por el enfrentamiento de los cuerpos de seguridad del Estado mexicano con diversas organizaciones político-militares y sus simpatizantes”</w:t>
      </w:r>
      <w:r w:rsidR="00212D56" w:rsidRPr="000430DB">
        <w:rPr>
          <w:rFonts w:ascii="PT Serif" w:hAnsi="PT Serif" w:cs="Times New Roman"/>
          <w:sz w:val="24"/>
          <w:szCs w:val="24"/>
        </w:rPr>
        <w:t>(Mireles, et</w:t>
      </w:r>
      <w:r w:rsidR="00363B5C">
        <w:rPr>
          <w:rFonts w:ascii="PT Serif" w:hAnsi="PT Serif" w:cs="Times New Roman"/>
          <w:sz w:val="24"/>
          <w:szCs w:val="24"/>
        </w:rPr>
        <w:t>.</w:t>
      </w:r>
      <w:r w:rsidR="00212D56" w:rsidRPr="000430DB">
        <w:rPr>
          <w:rFonts w:ascii="PT Serif" w:hAnsi="PT Serif" w:cs="Times New Roman"/>
          <w:sz w:val="24"/>
          <w:szCs w:val="24"/>
        </w:rPr>
        <w:t xml:space="preserve"> al., p. 7)</w:t>
      </w:r>
      <w:r w:rsidR="0049241D" w:rsidRPr="000430DB">
        <w:rPr>
          <w:rFonts w:ascii="PT Serif" w:hAnsi="PT Serif" w:cs="Times New Roman"/>
          <w:sz w:val="24"/>
          <w:szCs w:val="24"/>
        </w:rPr>
        <w:t>.</w:t>
      </w:r>
      <w:r w:rsidR="007114DC" w:rsidRPr="000430DB">
        <w:rPr>
          <w:rFonts w:ascii="PT Serif" w:hAnsi="PT Serif" w:cs="Times New Roman"/>
          <w:sz w:val="24"/>
          <w:szCs w:val="24"/>
        </w:rPr>
        <w:t xml:space="preserve"> </w:t>
      </w:r>
    </w:p>
    <w:p w14:paraId="4A720D50" w14:textId="5ED11D58" w:rsidR="007114DC" w:rsidRPr="000430DB" w:rsidRDefault="007114DC"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La respuesta de las autoridades estatales se colocó en la conocida frase “fuego contra fuego” al desplegarse una alta cantidad de represión de las fuerzas públicas desarrollando un </w:t>
      </w:r>
      <w:r w:rsidRPr="000430DB">
        <w:rPr>
          <w:rFonts w:ascii="PT Serif" w:hAnsi="PT Serif" w:cs="Times New Roman"/>
          <w:i/>
          <w:iCs/>
          <w:sz w:val="24"/>
          <w:szCs w:val="24"/>
        </w:rPr>
        <w:t xml:space="preserve">modus </w:t>
      </w:r>
      <w:r w:rsidR="003E0BB3" w:rsidRPr="000430DB">
        <w:rPr>
          <w:rFonts w:ascii="PT Serif" w:hAnsi="PT Serif" w:cs="Times New Roman"/>
          <w:i/>
          <w:iCs/>
          <w:sz w:val="24"/>
          <w:szCs w:val="24"/>
        </w:rPr>
        <w:t>operandi</w:t>
      </w:r>
      <w:r w:rsidR="003E0BB3" w:rsidRPr="000430DB">
        <w:rPr>
          <w:rFonts w:ascii="PT Serif" w:hAnsi="PT Serif" w:cs="Times New Roman"/>
          <w:sz w:val="24"/>
          <w:szCs w:val="24"/>
        </w:rPr>
        <w:t xml:space="preserve"> o, como refieren algunos autores, un “circuito” contra los miembros de</w:t>
      </w:r>
      <w:r w:rsidR="00B16FFC" w:rsidRPr="000430DB">
        <w:rPr>
          <w:rFonts w:ascii="PT Serif" w:hAnsi="PT Serif" w:cs="Times New Roman"/>
          <w:sz w:val="24"/>
          <w:szCs w:val="24"/>
        </w:rPr>
        <w:t xml:space="preserve"> los distintos grupos </w:t>
      </w:r>
      <w:r w:rsidR="00E20EB7" w:rsidRPr="000430DB">
        <w:rPr>
          <w:rFonts w:ascii="PT Serif" w:hAnsi="PT Serif" w:cs="Times New Roman"/>
          <w:sz w:val="24"/>
          <w:szCs w:val="24"/>
        </w:rPr>
        <w:t xml:space="preserve">de alzamiento. </w:t>
      </w:r>
    </w:p>
    <w:p w14:paraId="0E3C2B94" w14:textId="748D3A17" w:rsidR="003E0BB3" w:rsidRPr="000430DB" w:rsidRDefault="003E0BB3"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Dicho circuito consistió en tres momentos: aprehensión, detención y definición final. La desaparición forzada iniciaba con la identificación y captura de presuntos disidentes por fuerzas estatales, seguida de su detención en una “zona gris” fuera del marco legal, donde eran sometidos a tortura para obtener información. Este periodo podía extenderse días, meses </w:t>
      </w:r>
      <w:r w:rsidR="006A73F5" w:rsidRPr="000430DB">
        <w:rPr>
          <w:rFonts w:ascii="PT Serif" w:hAnsi="PT Serif" w:cs="Times New Roman"/>
          <w:sz w:val="24"/>
          <w:szCs w:val="24"/>
        </w:rPr>
        <w:t>e</w:t>
      </w:r>
      <w:r w:rsidRPr="000430DB">
        <w:rPr>
          <w:rFonts w:ascii="PT Serif" w:hAnsi="PT Serif" w:cs="Times New Roman"/>
          <w:sz w:val="24"/>
          <w:szCs w:val="24"/>
        </w:rPr>
        <w:t xml:space="preserve"> incluso años. Finalmente, las autoridades decidían su destino: </w:t>
      </w:r>
      <w:r w:rsidR="005240B7">
        <w:rPr>
          <w:rFonts w:ascii="PT Serif" w:hAnsi="PT Serif" w:cs="Times New Roman"/>
          <w:sz w:val="24"/>
          <w:szCs w:val="24"/>
        </w:rPr>
        <w:t xml:space="preserve">su </w:t>
      </w:r>
      <w:r w:rsidRPr="000430DB">
        <w:rPr>
          <w:rFonts w:ascii="PT Serif" w:hAnsi="PT Serif" w:cs="Times New Roman"/>
          <w:sz w:val="24"/>
          <w:szCs w:val="24"/>
        </w:rPr>
        <w:t>presentación ante instancias judiciales o</w:t>
      </w:r>
      <w:r w:rsidR="005240B7">
        <w:rPr>
          <w:rFonts w:ascii="PT Serif" w:hAnsi="PT Serif" w:cs="Times New Roman"/>
          <w:sz w:val="24"/>
          <w:szCs w:val="24"/>
        </w:rPr>
        <w:t xml:space="preserve"> su</w:t>
      </w:r>
      <w:r w:rsidRPr="000430DB">
        <w:rPr>
          <w:rFonts w:ascii="PT Serif" w:hAnsi="PT Serif" w:cs="Times New Roman"/>
          <w:sz w:val="24"/>
          <w:szCs w:val="24"/>
        </w:rPr>
        <w:t xml:space="preserve"> ejecución. Mientras no </w:t>
      </w:r>
      <w:r w:rsidR="00B72951" w:rsidRPr="000430DB">
        <w:rPr>
          <w:rFonts w:ascii="PT Serif" w:hAnsi="PT Serif" w:cs="Times New Roman"/>
          <w:sz w:val="24"/>
          <w:szCs w:val="24"/>
        </w:rPr>
        <w:t>existiesen</w:t>
      </w:r>
      <w:r w:rsidRPr="000430DB">
        <w:rPr>
          <w:rFonts w:ascii="PT Serif" w:hAnsi="PT Serif" w:cs="Times New Roman"/>
          <w:sz w:val="24"/>
          <w:szCs w:val="24"/>
        </w:rPr>
        <w:t xml:space="preserve"> pruebas en contrario, los desaparecidos deb</w:t>
      </w:r>
      <w:r w:rsidR="009B4843" w:rsidRPr="000430DB">
        <w:rPr>
          <w:rFonts w:ascii="PT Serif" w:hAnsi="PT Serif" w:cs="Times New Roman"/>
          <w:sz w:val="24"/>
          <w:szCs w:val="24"/>
        </w:rPr>
        <w:t>ían</w:t>
      </w:r>
      <w:r w:rsidRPr="000430DB">
        <w:rPr>
          <w:rFonts w:ascii="PT Serif" w:hAnsi="PT Serif" w:cs="Times New Roman"/>
          <w:sz w:val="24"/>
          <w:szCs w:val="24"/>
        </w:rPr>
        <w:t xml:space="preserve"> considerarse vivos</w:t>
      </w:r>
      <w:r w:rsidR="00212D56" w:rsidRPr="000430DB">
        <w:rPr>
          <w:rFonts w:ascii="PT Serif" w:hAnsi="PT Serif" w:cs="Times New Roman"/>
          <w:sz w:val="24"/>
          <w:szCs w:val="24"/>
        </w:rPr>
        <w:t xml:space="preserve"> (Mireles, et</w:t>
      </w:r>
      <w:r w:rsidR="00363B5C">
        <w:rPr>
          <w:rFonts w:ascii="PT Serif" w:hAnsi="PT Serif" w:cs="Times New Roman"/>
          <w:sz w:val="24"/>
          <w:szCs w:val="24"/>
        </w:rPr>
        <w:t>.</w:t>
      </w:r>
      <w:r w:rsidR="00212D56" w:rsidRPr="000430DB">
        <w:rPr>
          <w:rFonts w:ascii="PT Serif" w:hAnsi="PT Serif" w:cs="Times New Roman"/>
          <w:sz w:val="24"/>
          <w:szCs w:val="24"/>
        </w:rPr>
        <w:t xml:space="preserve"> al., 2021, p. 9)</w:t>
      </w:r>
      <w:r w:rsidRPr="000430DB">
        <w:rPr>
          <w:rFonts w:ascii="PT Serif" w:hAnsi="PT Serif" w:cs="Times New Roman"/>
          <w:sz w:val="24"/>
          <w:szCs w:val="24"/>
        </w:rPr>
        <w:t>.</w:t>
      </w:r>
    </w:p>
    <w:p w14:paraId="22142638" w14:textId="27E68409" w:rsidR="007114DC" w:rsidRPr="000430DB" w:rsidRDefault="009B4843"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Por otro lado, </w:t>
      </w:r>
      <w:r w:rsidR="003E6ADD" w:rsidRPr="000430DB">
        <w:rPr>
          <w:rFonts w:ascii="PT Serif" w:hAnsi="PT Serif" w:cs="Times New Roman"/>
          <w:sz w:val="24"/>
          <w:szCs w:val="24"/>
        </w:rPr>
        <w:t>a</w:t>
      </w:r>
      <w:r w:rsidRPr="000430DB">
        <w:rPr>
          <w:rFonts w:ascii="PT Serif" w:hAnsi="PT Serif" w:cs="Times New Roman"/>
          <w:sz w:val="24"/>
          <w:szCs w:val="24"/>
        </w:rPr>
        <w:t>u</w:t>
      </w:r>
      <w:r w:rsidR="003E6ADD" w:rsidRPr="000430DB">
        <w:rPr>
          <w:rFonts w:ascii="PT Serif" w:hAnsi="PT Serif" w:cs="Times New Roman"/>
          <w:sz w:val="24"/>
          <w:szCs w:val="24"/>
        </w:rPr>
        <w:t xml:space="preserve">n cuando se tiende a relacionar la guerra sucia con la década de 1970, la estrategia empleada y en consiguiente, la desaparición de personas, ha estado presente en varios periodos de la historia de México que </w:t>
      </w:r>
      <w:r w:rsidR="00F35AE0" w:rsidRPr="000430DB">
        <w:rPr>
          <w:rFonts w:ascii="PT Serif" w:hAnsi="PT Serif" w:cs="Times New Roman"/>
          <w:sz w:val="24"/>
          <w:szCs w:val="24"/>
        </w:rPr>
        <w:t>se extienden a</w:t>
      </w:r>
      <w:r w:rsidR="003E6ADD" w:rsidRPr="000430DB">
        <w:rPr>
          <w:rFonts w:ascii="PT Serif" w:hAnsi="PT Serif" w:cs="Times New Roman"/>
          <w:sz w:val="24"/>
          <w:szCs w:val="24"/>
        </w:rPr>
        <w:t xml:space="preserve"> la actualidad</w:t>
      </w:r>
      <w:r w:rsidR="00F35AE0" w:rsidRPr="000430DB">
        <w:rPr>
          <w:rFonts w:ascii="PT Serif" w:hAnsi="PT Serif" w:cs="Times New Roman"/>
          <w:sz w:val="24"/>
          <w:szCs w:val="24"/>
        </w:rPr>
        <w:t xml:space="preserve"> lo que conlleva a decir que tampoco se ha superado este ilícito. </w:t>
      </w:r>
    </w:p>
    <w:p w14:paraId="7557FB5F" w14:textId="042F2186" w:rsidR="00B16FFC" w:rsidRPr="000430DB" w:rsidRDefault="00B16FFC"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De acuerdo con el Registro Nacional de Personas Desaparecidas y No Localizadas (RNPDNO), hasta la fecha se reporta un total de 121,802 personas desaparecidas y no localizadas. De esta cifra, 111,396 personas (equivalente al 91.46%) se encuentran clasificadas exclusivamente como “desaparecidas”</w:t>
      </w:r>
      <w:r w:rsidR="00212D56" w:rsidRPr="000430DB">
        <w:rPr>
          <w:rFonts w:ascii="PT Serif" w:hAnsi="PT Serif" w:cs="Times New Roman"/>
          <w:sz w:val="24"/>
          <w:szCs w:val="24"/>
        </w:rPr>
        <w:t>(RNPDNO, 2025)</w:t>
      </w:r>
      <w:r w:rsidRPr="000430DB">
        <w:rPr>
          <w:rFonts w:ascii="PT Serif" w:hAnsi="PT Serif" w:cs="Times New Roman"/>
          <w:sz w:val="24"/>
          <w:szCs w:val="24"/>
        </w:rPr>
        <w:t xml:space="preserve">.  </w:t>
      </w:r>
    </w:p>
    <w:p w14:paraId="75B424FB" w14:textId="5FD06B6E" w:rsidR="009B4843" w:rsidRDefault="00B16FFC"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lastRenderedPageBreak/>
        <w:t xml:space="preserve">El cambio que podríamos notar </w:t>
      </w:r>
      <w:r w:rsidR="00F35AE0" w:rsidRPr="000430DB">
        <w:rPr>
          <w:rFonts w:ascii="PT Serif" w:hAnsi="PT Serif" w:cs="Times New Roman"/>
          <w:sz w:val="24"/>
          <w:szCs w:val="24"/>
        </w:rPr>
        <w:t xml:space="preserve">respecto a la “guerra sucia” </w:t>
      </w:r>
      <w:r w:rsidRPr="000430DB">
        <w:rPr>
          <w:rFonts w:ascii="PT Serif" w:hAnsi="PT Serif" w:cs="Times New Roman"/>
          <w:sz w:val="24"/>
          <w:szCs w:val="24"/>
        </w:rPr>
        <w:t xml:space="preserve">partiría </w:t>
      </w:r>
      <w:r w:rsidR="00E20EB7" w:rsidRPr="000430DB">
        <w:rPr>
          <w:rFonts w:ascii="PT Serif" w:hAnsi="PT Serif" w:cs="Times New Roman"/>
          <w:sz w:val="24"/>
          <w:szCs w:val="24"/>
        </w:rPr>
        <w:t>de</w:t>
      </w:r>
      <w:r w:rsidRPr="000430DB">
        <w:rPr>
          <w:rFonts w:ascii="PT Serif" w:hAnsi="PT Serif" w:cs="Times New Roman"/>
          <w:sz w:val="24"/>
          <w:szCs w:val="24"/>
        </w:rPr>
        <w:t xml:space="preserve"> </w:t>
      </w:r>
      <w:r w:rsidR="00E20EB7" w:rsidRPr="000430DB">
        <w:rPr>
          <w:rFonts w:ascii="PT Serif" w:hAnsi="PT Serif" w:cs="Times New Roman"/>
          <w:sz w:val="24"/>
          <w:szCs w:val="24"/>
        </w:rPr>
        <w:t xml:space="preserve">la circunstancia que </w:t>
      </w:r>
      <w:r w:rsidR="00F35AE0" w:rsidRPr="000430DB">
        <w:rPr>
          <w:rFonts w:ascii="PT Serif" w:hAnsi="PT Serif" w:cs="Times New Roman"/>
          <w:sz w:val="24"/>
          <w:szCs w:val="24"/>
        </w:rPr>
        <w:t>ha motivado</w:t>
      </w:r>
      <w:r w:rsidR="00E20EB7" w:rsidRPr="000430DB">
        <w:rPr>
          <w:rFonts w:ascii="PT Serif" w:hAnsi="PT Serif" w:cs="Times New Roman"/>
          <w:sz w:val="24"/>
          <w:szCs w:val="24"/>
        </w:rPr>
        <w:t xml:space="preserve"> a las</w:t>
      </w:r>
      <w:r w:rsidRPr="000430DB">
        <w:rPr>
          <w:rFonts w:ascii="PT Serif" w:hAnsi="PT Serif" w:cs="Times New Roman"/>
          <w:sz w:val="24"/>
          <w:szCs w:val="24"/>
        </w:rPr>
        <w:t xml:space="preserve"> desaparicion</w:t>
      </w:r>
      <w:r w:rsidR="00E20EB7" w:rsidRPr="000430DB">
        <w:rPr>
          <w:rFonts w:ascii="PT Serif" w:hAnsi="PT Serif" w:cs="Times New Roman"/>
          <w:sz w:val="24"/>
          <w:szCs w:val="24"/>
        </w:rPr>
        <w:t>es</w:t>
      </w:r>
      <w:r w:rsidR="005240B7">
        <w:rPr>
          <w:rFonts w:ascii="PT Serif" w:hAnsi="PT Serif" w:cs="Times New Roman"/>
          <w:sz w:val="24"/>
          <w:szCs w:val="24"/>
        </w:rPr>
        <w:t xml:space="preserve"> recientemente y que se revela</w:t>
      </w:r>
      <w:r w:rsidR="00F35AE0" w:rsidRPr="000430DB">
        <w:rPr>
          <w:rFonts w:ascii="PT Serif" w:hAnsi="PT Serif" w:cs="Times New Roman"/>
          <w:sz w:val="24"/>
          <w:szCs w:val="24"/>
        </w:rPr>
        <w:t xml:space="preserve"> como</w:t>
      </w:r>
      <w:r w:rsidR="00E20EB7" w:rsidRPr="000430DB">
        <w:rPr>
          <w:rFonts w:ascii="PT Serif" w:hAnsi="PT Serif" w:cs="Times New Roman"/>
          <w:sz w:val="24"/>
          <w:szCs w:val="24"/>
        </w:rPr>
        <w:t xml:space="preserve"> el acontecimiento </w:t>
      </w:r>
      <w:r w:rsidR="00DC45ED" w:rsidRPr="000430DB">
        <w:rPr>
          <w:rFonts w:ascii="PT Serif" w:hAnsi="PT Serif" w:cs="Times New Roman"/>
          <w:sz w:val="24"/>
          <w:szCs w:val="24"/>
        </w:rPr>
        <w:t xml:space="preserve">que </w:t>
      </w:r>
      <w:r w:rsidR="00E20EB7" w:rsidRPr="000430DB">
        <w:rPr>
          <w:rFonts w:ascii="PT Serif" w:hAnsi="PT Serif" w:cs="Times New Roman"/>
          <w:sz w:val="24"/>
          <w:szCs w:val="24"/>
        </w:rPr>
        <w:t xml:space="preserve">más </w:t>
      </w:r>
      <w:r w:rsidR="00753814" w:rsidRPr="000430DB">
        <w:rPr>
          <w:rFonts w:ascii="PT Serif" w:hAnsi="PT Serif" w:cs="Times New Roman"/>
          <w:sz w:val="24"/>
          <w:szCs w:val="24"/>
        </w:rPr>
        <w:t xml:space="preserve">ha </w:t>
      </w:r>
      <w:r w:rsidR="00E20EB7" w:rsidRPr="000430DB">
        <w:rPr>
          <w:rFonts w:ascii="PT Serif" w:hAnsi="PT Serif" w:cs="Times New Roman"/>
          <w:sz w:val="24"/>
          <w:szCs w:val="24"/>
        </w:rPr>
        <w:t>afecta</w:t>
      </w:r>
      <w:r w:rsidR="00753814" w:rsidRPr="000430DB">
        <w:rPr>
          <w:rFonts w:ascii="PT Serif" w:hAnsi="PT Serif" w:cs="Times New Roman"/>
          <w:sz w:val="24"/>
          <w:szCs w:val="24"/>
        </w:rPr>
        <w:t>do</w:t>
      </w:r>
      <w:r w:rsidR="00E20EB7" w:rsidRPr="000430DB">
        <w:rPr>
          <w:rFonts w:ascii="PT Serif" w:hAnsi="PT Serif" w:cs="Times New Roman"/>
          <w:sz w:val="24"/>
          <w:szCs w:val="24"/>
        </w:rPr>
        <w:t xml:space="preserve"> a la población mexicana</w:t>
      </w:r>
      <w:r w:rsidR="00062C6D" w:rsidRPr="000430DB">
        <w:rPr>
          <w:rFonts w:ascii="PT Serif" w:hAnsi="PT Serif" w:cs="Times New Roman"/>
          <w:sz w:val="24"/>
          <w:szCs w:val="24"/>
        </w:rPr>
        <w:t xml:space="preserve"> en las últimas décadas</w:t>
      </w:r>
      <w:r w:rsidR="00A87A38" w:rsidRPr="000430DB">
        <w:rPr>
          <w:rFonts w:ascii="PT Serif" w:hAnsi="PT Serif" w:cs="Times New Roman"/>
          <w:sz w:val="24"/>
          <w:szCs w:val="24"/>
        </w:rPr>
        <w:t xml:space="preserve">: el </w:t>
      </w:r>
      <w:r w:rsidR="00E20EB7" w:rsidRPr="000430DB">
        <w:rPr>
          <w:rFonts w:ascii="PT Serif" w:hAnsi="PT Serif" w:cs="Times New Roman"/>
          <w:sz w:val="24"/>
          <w:szCs w:val="24"/>
        </w:rPr>
        <w:t xml:space="preserve">narcotráfico. </w:t>
      </w:r>
    </w:p>
    <w:p w14:paraId="7DE677AD" w14:textId="62B8D7A3" w:rsidR="001C00F4" w:rsidRPr="001C00F4" w:rsidRDefault="001C00F4" w:rsidP="007B0ED6">
      <w:pPr>
        <w:spacing w:line="360" w:lineRule="auto"/>
        <w:ind w:firstLine="720"/>
        <w:jc w:val="both"/>
        <w:rPr>
          <w:rFonts w:ascii="PT Serif" w:hAnsi="PT Serif" w:cs="Times New Roman"/>
          <w:sz w:val="24"/>
          <w:szCs w:val="24"/>
        </w:rPr>
      </w:pPr>
      <w:r w:rsidRPr="001C00F4">
        <w:rPr>
          <w:rFonts w:ascii="PT Serif" w:hAnsi="PT Serif" w:cs="Times New Roman"/>
          <w:sz w:val="24"/>
          <w:szCs w:val="24"/>
        </w:rPr>
        <w:t xml:space="preserve">La transición de la </w:t>
      </w:r>
      <w:r>
        <w:rPr>
          <w:rFonts w:ascii="PT Serif" w:hAnsi="PT Serif" w:cs="Times New Roman"/>
          <w:sz w:val="24"/>
          <w:szCs w:val="24"/>
        </w:rPr>
        <w:t>“</w:t>
      </w:r>
      <w:r w:rsidRPr="001C00F4">
        <w:rPr>
          <w:rFonts w:ascii="PT Serif" w:hAnsi="PT Serif" w:cs="Times New Roman"/>
          <w:sz w:val="24"/>
          <w:szCs w:val="24"/>
        </w:rPr>
        <w:t>guerra sucia</w:t>
      </w:r>
      <w:r>
        <w:rPr>
          <w:rFonts w:ascii="PT Serif" w:hAnsi="PT Serif" w:cs="Times New Roman"/>
          <w:sz w:val="24"/>
          <w:szCs w:val="24"/>
        </w:rPr>
        <w:t>”</w:t>
      </w:r>
      <w:r w:rsidRPr="001C00F4">
        <w:rPr>
          <w:rFonts w:ascii="PT Serif" w:hAnsi="PT Serif" w:cs="Times New Roman"/>
          <w:sz w:val="24"/>
          <w:szCs w:val="24"/>
        </w:rPr>
        <w:t xml:space="preserve"> a la </w:t>
      </w:r>
      <w:r>
        <w:rPr>
          <w:rFonts w:ascii="PT Serif" w:hAnsi="PT Serif" w:cs="Times New Roman"/>
          <w:sz w:val="24"/>
          <w:szCs w:val="24"/>
        </w:rPr>
        <w:t>“</w:t>
      </w:r>
      <w:r w:rsidRPr="001C00F4">
        <w:rPr>
          <w:rFonts w:ascii="PT Serif" w:hAnsi="PT Serif" w:cs="Times New Roman"/>
          <w:sz w:val="24"/>
          <w:szCs w:val="24"/>
        </w:rPr>
        <w:t>guerra contra el narco</w:t>
      </w:r>
      <w:r>
        <w:rPr>
          <w:rFonts w:ascii="PT Serif" w:hAnsi="PT Serif" w:cs="Times New Roman"/>
          <w:sz w:val="24"/>
          <w:szCs w:val="24"/>
        </w:rPr>
        <w:t>”</w:t>
      </w:r>
      <w:r w:rsidRPr="001C00F4">
        <w:rPr>
          <w:rFonts w:ascii="PT Serif" w:hAnsi="PT Serif" w:cs="Times New Roman"/>
          <w:sz w:val="24"/>
          <w:szCs w:val="24"/>
        </w:rPr>
        <w:t xml:space="preserve"> marcó un punto de inflexión en la estrategia de seguridad en México. Durante el sexenio de Felipe Calderón, el gobierno declaró un enfrentamiento directo contra los grupos criminales con el argumento de salvaguardar la seguridad nacional</w:t>
      </w:r>
      <w:r w:rsidR="00C03715">
        <w:rPr>
          <w:rFonts w:ascii="PT Serif" w:hAnsi="PT Serif" w:cs="Times New Roman"/>
          <w:sz w:val="24"/>
          <w:szCs w:val="24"/>
        </w:rPr>
        <w:t xml:space="preserve">. Tal marco de actuación se extendió a los gobiernos posteriores, tal como lo fue el de Enrique Peña Nieto en donde </w:t>
      </w:r>
      <w:r w:rsidRPr="001C00F4">
        <w:rPr>
          <w:rFonts w:ascii="PT Serif" w:hAnsi="PT Serif" w:cs="Times New Roman"/>
          <w:sz w:val="24"/>
          <w:szCs w:val="24"/>
        </w:rPr>
        <w:t>lejos de debilitar al crimen organizado, la violencia y las violaciones a los derechos humanos</w:t>
      </w:r>
      <w:r w:rsidR="00C03715">
        <w:rPr>
          <w:rFonts w:ascii="PT Serif" w:hAnsi="PT Serif" w:cs="Times New Roman"/>
          <w:sz w:val="24"/>
          <w:szCs w:val="24"/>
        </w:rPr>
        <w:t xml:space="preserve">, las actuaciones estatales las </w:t>
      </w:r>
      <w:r w:rsidRPr="001C00F4">
        <w:rPr>
          <w:rFonts w:ascii="PT Serif" w:hAnsi="PT Serif" w:cs="Times New Roman"/>
          <w:sz w:val="24"/>
          <w:szCs w:val="24"/>
        </w:rPr>
        <w:t xml:space="preserve">intensificaron, </w:t>
      </w:r>
      <w:r w:rsidR="00C03715">
        <w:rPr>
          <w:rFonts w:ascii="PT Serif" w:hAnsi="PT Serif" w:cs="Times New Roman"/>
          <w:sz w:val="24"/>
          <w:szCs w:val="24"/>
        </w:rPr>
        <w:t>dejando</w:t>
      </w:r>
      <w:r w:rsidRPr="001C00F4">
        <w:rPr>
          <w:rFonts w:ascii="PT Serif" w:hAnsi="PT Serif" w:cs="Times New Roman"/>
          <w:sz w:val="24"/>
          <w:szCs w:val="24"/>
        </w:rPr>
        <w:t xml:space="preserve"> episodios como la desaparición de los 43 estudiantes de Ayotzinapa, lo que suscitó dudas sobre las verdaderas intenciones de la política de militarización</w:t>
      </w:r>
      <w:r w:rsidRPr="000430DB">
        <w:rPr>
          <w:rStyle w:val="Refdenotaalpie"/>
          <w:rFonts w:ascii="PT Serif" w:hAnsi="PT Serif" w:cs="Times New Roman"/>
          <w:sz w:val="24"/>
          <w:szCs w:val="24"/>
        </w:rPr>
        <w:footnoteReference w:id="4"/>
      </w:r>
      <w:r w:rsidRPr="001C00F4">
        <w:rPr>
          <w:rFonts w:ascii="PT Serif" w:hAnsi="PT Serif" w:cs="Times New Roman"/>
          <w:sz w:val="24"/>
          <w:szCs w:val="24"/>
        </w:rPr>
        <w:t>.</w:t>
      </w:r>
    </w:p>
    <w:p w14:paraId="364F5739" w14:textId="4122E197" w:rsidR="001C00F4" w:rsidRDefault="001C00F4" w:rsidP="007B0ED6">
      <w:pPr>
        <w:spacing w:line="360" w:lineRule="auto"/>
        <w:ind w:firstLine="720"/>
        <w:jc w:val="both"/>
        <w:rPr>
          <w:rFonts w:ascii="PT Serif" w:hAnsi="PT Serif" w:cs="Times New Roman"/>
          <w:sz w:val="24"/>
          <w:szCs w:val="24"/>
        </w:rPr>
      </w:pPr>
      <w:r>
        <w:rPr>
          <w:rFonts w:ascii="PT Serif" w:hAnsi="PT Serif" w:cs="Times New Roman"/>
          <w:sz w:val="24"/>
          <w:szCs w:val="24"/>
        </w:rPr>
        <w:t>Aunado a esto, e</w:t>
      </w:r>
      <w:r w:rsidRPr="001C00F4">
        <w:rPr>
          <w:rFonts w:ascii="PT Serif" w:hAnsi="PT Serif" w:cs="Times New Roman"/>
          <w:sz w:val="24"/>
          <w:szCs w:val="24"/>
        </w:rPr>
        <w:t>l cambio de administración</w:t>
      </w:r>
      <w:r w:rsidR="006F2C37">
        <w:rPr>
          <w:rFonts w:ascii="PT Serif" w:hAnsi="PT Serif" w:cs="Times New Roman"/>
          <w:sz w:val="24"/>
          <w:szCs w:val="24"/>
        </w:rPr>
        <w:t xml:space="preserve"> y aparente ideología política</w:t>
      </w:r>
      <w:r w:rsidRPr="001C00F4">
        <w:rPr>
          <w:rFonts w:ascii="PT Serif" w:hAnsi="PT Serif" w:cs="Times New Roman"/>
          <w:sz w:val="24"/>
          <w:szCs w:val="24"/>
        </w:rPr>
        <w:t xml:space="preserve"> no ha significado una </w:t>
      </w:r>
      <w:r w:rsidR="006F2C37">
        <w:rPr>
          <w:rFonts w:ascii="PT Serif" w:hAnsi="PT Serif" w:cs="Times New Roman"/>
          <w:sz w:val="24"/>
          <w:szCs w:val="24"/>
        </w:rPr>
        <w:t>repercusión positiva</w:t>
      </w:r>
      <w:r w:rsidRPr="001C00F4">
        <w:rPr>
          <w:rFonts w:ascii="PT Serif" w:hAnsi="PT Serif" w:cs="Times New Roman"/>
          <w:sz w:val="24"/>
          <w:szCs w:val="24"/>
        </w:rPr>
        <w:t xml:space="preserve"> en las desapariciones forzadas. </w:t>
      </w:r>
      <w:r w:rsidR="006F2C37">
        <w:rPr>
          <w:rFonts w:ascii="PT Serif" w:hAnsi="PT Serif" w:cs="Times New Roman"/>
          <w:sz w:val="24"/>
          <w:szCs w:val="24"/>
        </w:rPr>
        <w:t>Esto es así ya que la transición marcada por</w:t>
      </w:r>
      <w:r w:rsidRPr="001C00F4">
        <w:rPr>
          <w:rFonts w:ascii="PT Serif" w:hAnsi="PT Serif" w:cs="Times New Roman"/>
          <w:sz w:val="24"/>
          <w:szCs w:val="24"/>
        </w:rPr>
        <w:t xml:space="preserve"> el gobierno de Andrés Manuel López Obrador</w:t>
      </w:r>
      <w:r w:rsidR="006F2C37">
        <w:rPr>
          <w:rFonts w:ascii="PT Serif" w:hAnsi="PT Serif" w:cs="Times New Roman"/>
          <w:sz w:val="24"/>
          <w:szCs w:val="24"/>
        </w:rPr>
        <w:t xml:space="preserve">, en donde se </w:t>
      </w:r>
      <w:r w:rsidRPr="001C00F4">
        <w:rPr>
          <w:rFonts w:ascii="PT Serif" w:hAnsi="PT Serif" w:cs="Times New Roman"/>
          <w:sz w:val="24"/>
          <w:szCs w:val="24"/>
        </w:rPr>
        <w:t xml:space="preserve">optó por una estrategia de seguridad </w:t>
      </w:r>
      <w:r w:rsidR="00474BC6">
        <w:rPr>
          <w:rFonts w:ascii="PT Serif" w:hAnsi="PT Serif" w:cs="Times New Roman"/>
          <w:sz w:val="24"/>
          <w:szCs w:val="24"/>
        </w:rPr>
        <w:t>basada en el</w:t>
      </w:r>
      <w:r w:rsidRPr="001C00F4">
        <w:rPr>
          <w:rFonts w:ascii="PT Serif" w:hAnsi="PT Serif" w:cs="Times New Roman"/>
          <w:sz w:val="24"/>
          <w:szCs w:val="24"/>
        </w:rPr>
        <w:t xml:space="preserve"> lema de “abrazos, no balazos”</w:t>
      </w:r>
      <w:r w:rsidR="00281E3B">
        <w:rPr>
          <w:rStyle w:val="Refdenotaalpie"/>
          <w:rFonts w:ascii="PT Serif" w:hAnsi="PT Serif" w:cs="Times New Roman"/>
          <w:sz w:val="24"/>
          <w:szCs w:val="24"/>
        </w:rPr>
        <w:footnoteReference w:id="5"/>
      </w:r>
      <w:r w:rsidRPr="001C00F4">
        <w:rPr>
          <w:rFonts w:ascii="PT Serif" w:hAnsi="PT Serif" w:cs="Times New Roman"/>
          <w:sz w:val="24"/>
          <w:szCs w:val="24"/>
        </w:rPr>
        <w:t>,</w:t>
      </w:r>
      <w:r w:rsidR="006F2C37">
        <w:rPr>
          <w:rFonts w:ascii="PT Serif" w:hAnsi="PT Serif" w:cs="Times New Roman"/>
          <w:sz w:val="24"/>
          <w:szCs w:val="24"/>
        </w:rPr>
        <w:t xml:space="preserve"> del cual también parece ser el asumido por el de la nueva presidenta del país,</w:t>
      </w:r>
      <w:r w:rsidRPr="001C00F4">
        <w:rPr>
          <w:rFonts w:ascii="PT Serif" w:hAnsi="PT Serif" w:cs="Times New Roman"/>
          <w:sz w:val="24"/>
          <w:szCs w:val="24"/>
        </w:rPr>
        <w:t xml:space="preserve"> </w:t>
      </w:r>
      <w:r w:rsidR="006F2C37">
        <w:rPr>
          <w:rFonts w:ascii="PT Serif" w:hAnsi="PT Serif" w:cs="Times New Roman"/>
          <w:sz w:val="24"/>
          <w:szCs w:val="24"/>
        </w:rPr>
        <w:t>fuera de disminuir estos altercados, los han elevado</w:t>
      </w:r>
      <w:r w:rsidRPr="001C00F4">
        <w:rPr>
          <w:rFonts w:ascii="PT Serif" w:hAnsi="PT Serif" w:cs="Times New Roman"/>
          <w:sz w:val="24"/>
          <w:szCs w:val="24"/>
        </w:rPr>
        <w:t xml:space="preserve">. De los 467 casos de desaparición forzada registrados entre 2007 y enero de 2023, 322 (69%) ocurrieron durante su mandato, lo </w:t>
      </w:r>
      <w:r w:rsidRPr="001C00F4">
        <w:rPr>
          <w:rFonts w:ascii="PT Serif" w:hAnsi="PT Serif" w:cs="Times New Roman"/>
          <w:sz w:val="24"/>
          <w:szCs w:val="24"/>
        </w:rPr>
        <w:lastRenderedPageBreak/>
        <w:t>que evidencia la continuidad de esta grave problemática y la ineficacia de las políticas implementadas (Pérez, 2023).</w:t>
      </w:r>
    </w:p>
    <w:p w14:paraId="6C3ECF55" w14:textId="2FC43D5D" w:rsidR="008F77EF" w:rsidRDefault="008F77EF" w:rsidP="007B0ED6">
      <w:pPr>
        <w:spacing w:line="360" w:lineRule="auto"/>
        <w:ind w:firstLine="720"/>
        <w:jc w:val="both"/>
        <w:rPr>
          <w:rFonts w:ascii="PT Serif" w:hAnsi="PT Serif" w:cs="Times New Roman"/>
          <w:sz w:val="24"/>
          <w:szCs w:val="24"/>
        </w:rPr>
      </w:pPr>
      <w:r w:rsidRPr="008F77EF">
        <w:rPr>
          <w:rFonts w:ascii="PT Serif" w:hAnsi="PT Serif" w:cs="Times New Roman"/>
          <w:sz w:val="24"/>
          <w:szCs w:val="24"/>
        </w:rPr>
        <w:t xml:space="preserve">En lo que respecta al ámbito </w:t>
      </w:r>
      <w:r w:rsidR="00551E83">
        <w:rPr>
          <w:rFonts w:ascii="PT Serif" w:hAnsi="PT Serif" w:cs="Times New Roman"/>
          <w:sz w:val="24"/>
          <w:szCs w:val="24"/>
        </w:rPr>
        <w:t>legal</w:t>
      </w:r>
      <w:r w:rsidRPr="008F77EF">
        <w:rPr>
          <w:rFonts w:ascii="PT Serif" w:hAnsi="PT Serif" w:cs="Times New Roman"/>
          <w:sz w:val="24"/>
          <w:szCs w:val="24"/>
        </w:rPr>
        <w:t xml:space="preserve">, </w:t>
      </w:r>
      <w:r w:rsidR="007B224C">
        <w:rPr>
          <w:rFonts w:ascii="PT Serif" w:hAnsi="PT Serif" w:cs="Times New Roman"/>
          <w:sz w:val="24"/>
          <w:szCs w:val="24"/>
        </w:rPr>
        <w:t xml:space="preserve">como medidas para socavar esta situación, </w:t>
      </w:r>
      <w:r w:rsidRPr="008F77EF">
        <w:rPr>
          <w:rFonts w:ascii="PT Serif" w:hAnsi="PT Serif" w:cs="Times New Roman"/>
          <w:sz w:val="24"/>
          <w:szCs w:val="24"/>
        </w:rPr>
        <w:t xml:space="preserve">al igual que en el caso de Perú, </w:t>
      </w:r>
      <w:r>
        <w:rPr>
          <w:rFonts w:ascii="PT Serif" w:hAnsi="PT Serif" w:cs="Times New Roman"/>
          <w:sz w:val="24"/>
          <w:szCs w:val="24"/>
        </w:rPr>
        <w:t>el desarrollo normativo</w:t>
      </w:r>
      <w:r w:rsidRPr="008F77EF">
        <w:rPr>
          <w:rFonts w:ascii="PT Serif" w:hAnsi="PT Serif" w:cs="Times New Roman"/>
          <w:sz w:val="24"/>
          <w:szCs w:val="24"/>
        </w:rPr>
        <w:t xml:space="preserve"> no ha implicado una transformación sustantiva. Incluso con la promulgación de una legislación especializada </w:t>
      </w:r>
      <w:r w:rsidR="00363B5C">
        <w:rPr>
          <w:rFonts w:ascii="PT Serif" w:hAnsi="PT Serif" w:cs="Times New Roman"/>
          <w:sz w:val="24"/>
          <w:szCs w:val="24"/>
        </w:rPr>
        <w:t>-</w:t>
      </w:r>
      <w:r w:rsidRPr="008F77EF">
        <w:rPr>
          <w:rFonts w:ascii="PT Serif" w:hAnsi="PT Serif" w:cs="Times New Roman"/>
          <w:sz w:val="24"/>
          <w:szCs w:val="24"/>
        </w:rPr>
        <w:t>como la Ley General en Materia de Desaparición Forzada de Personas, que supera el enfoque restrictivo de una tipificación contenida únicamente en el Código Penal</w:t>
      </w:r>
      <w:r w:rsidR="00363B5C">
        <w:rPr>
          <w:rFonts w:ascii="PT Serif" w:hAnsi="PT Serif" w:cs="Times New Roman"/>
          <w:sz w:val="24"/>
          <w:szCs w:val="24"/>
        </w:rPr>
        <w:t>-</w:t>
      </w:r>
      <w:r>
        <w:rPr>
          <w:rFonts w:ascii="PT Serif" w:hAnsi="PT Serif" w:cs="Times New Roman"/>
          <w:sz w:val="24"/>
          <w:szCs w:val="24"/>
        </w:rPr>
        <w:t xml:space="preserve">, así como </w:t>
      </w:r>
      <w:r w:rsidR="00E93B88">
        <w:rPr>
          <w:rFonts w:ascii="PT Serif" w:hAnsi="PT Serif" w:cs="Times New Roman"/>
          <w:sz w:val="24"/>
          <w:szCs w:val="24"/>
        </w:rPr>
        <w:t xml:space="preserve">la </w:t>
      </w:r>
      <w:r>
        <w:rPr>
          <w:rFonts w:ascii="PT Serif" w:hAnsi="PT Serif" w:cs="Times New Roman"/>
          <w:sz w:val="24"/>
          <w:szCs w:val="24"/>
        </w:rPr>
        <w:t xml:space="preserve">ratificación de la CIDF, </w:t>
      </w:r>
      <w:r w:rsidRPr="008F77EF">
        <w:rPr>
          <w:rFonts w:ascii="PT Serif" w:hAnsi="PT Serif" w:cs="Times New Roman"/>
          <w:sz w:val="24"/>
          <w:szCs w:val="24"/>
        </w:rPr>
        <w:t xml:space="preserve">no se ha logrado erradicar efectivamente la </w:t>
      </w:r>
      <w:r w:rsidR="007B224C">
        <w:rPr>
          <w:rFonts w:ascii="PT Serif" w:hAnsi="PT Serif" w:cs="Times New Roman"/>
          <w:sz w:val="24"/>
          <w:szCs w:val="24"/>
        </w:rPr>
        <w:t>prevalencia</w:t>
      </w:r>
      <w:r w:rsidRPr="008F77EF">
        <w:rPr>
          <w:rFonts w:ascii="PT Serif" w:hAnsi="PT Serif" w:cs="Times New Roman"/>
          <w:sz w:val="24"/>
          <w:szCs w:val="24"/>
        </w:rPr>
        <w:t xml:space="preserve"> del delito</w:t>
      </w:r>
      <w:r>
        <w:rPr>
          <w:rFonts w:ascii="PT Serif" w:hAnsi="PT Serif" w:cs="Times New Roman"/>
          <w:sz w:val="24"/>
          <w:szCs w:val="24"/>
        </w:rPr>
        <w:t>.</w:t>
      </w:r>
    </w:p>
    <w:p w14:paraId="169F29E2" w14:textId="5B93F22A" w:rsidR="00C76B44" w:rsidRDefault="00C76B44"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Esto ha provocado, fuera del marco de implicaciones jurídicas, a reconceptualizar el plano cultural. Tomando como base nuevamente el representativo caso de los 43 estudiantes de Ayotzinapa, </w:t>
      </w:r>
      <w:r w:rsidR="00006D6B">
        <w:rPr>
          <w:rFonts w:ascii="PT Serif" w:hAnsi="PT Serif" w:cs="Times New Roman"/>
          <w:sz w:val="24"/>
          <w:szCs w:val="24"/>
        </w:rPr>
        <w:t xml:space="preserve">donde </w:t>
      </w:r>
      <w:r w:rsidR="003450D9">
        <w:rPr>
          <w:rFonts w:ascii="PT Serif" w:hAnsi="PT Serif" w:cs="Times New Roman"/>
          <w:sz w:val="24"/>
          <w:szCs w:val="24"/>
        </w:rPr>
        <w:t>la percepción social</w:t>
      </w:r>
      <w:r>
        <w:rPr>
          <w:rFonts w:ascii="PT Serif" w:hAnsi="PT Serif" w:cs="Times New Roman"/>
          <w:sz w:val="24"/>
          <w:szCs w:val="24"/>
        </w:rPr>
        <w:t xml:space="preserve"> se ubica en lo que </w:t>
      </w:r>
      <w:r w:rsidR="00D10C6F">
        <w:rPr>
          <w:rFonts w:ascii="PT Serif" w:hAnsi="PT Serif" w:cs="Times New Roman"/>
          <w:sz w:val="24"/>
          <w:szCs w:val="24"/>
        </w:rPr>
        <w:t>Gravante</w:t>
      </w:r>
      <w:r>
        <w:rPr>
          <w:rFonts w:ascii="PT Serif" w:hAnsi="PT Serif" w:cs="Times New Roman"/>
          <w:sz w:val="24"/>
          <w:szCs w:val="24"/>
        </w:rPr>
        <w:t xml:space="preserve"> (2018) ha catalogado como un “trauma cultural colectivo” entendido como el </w:t>
      </w:r>
      <w:r w:rsidRPr="00E84B96">
        <w:rPr>
          <w:rFonts w:ascii="PT Serif" w:hAnsi="PT Serif" w:cs="Times New Roman"/>
          <w:i/>
          <w:iCs/>
          <w:sz w:val="24"/>
          <w:szCs w:val="24"/>
        </w:rPr>
        <w:t>shock</w:t>
      </w:r>
      <w:r>
        <w:rPr>
          <w:rFonts w:ascii="PT Serif" w:hAnsi="PT Serif" w:cs="Times New Roman"/>
          <w:sz w:val="24"/>
          <w:szCs w:val="24"/>
        </w:rPr>
        <w:t xml:space="preserve"> y miedo que la sociedad mexicana sufre por estar bajo una sensación de constante peligro (p. 18). </w:t>
      </w:r>
    </w:p>
    <w:p w14:paraId="21CC98BC" w14:textId="59D53556" w:rsidR="003B6B20" w:rsidRDefault="003B6B20"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Lara y Rodríguez (2024) analizan esto de manera más general, estableciendo que estas </w:t>
      </w:r>
      <w:r w:rsidRPr="003B6B20">
        <w:rPr>
          <w:rFonts w:ascii="PT Serif" w:hAnsi="PT Serif" w:cs="Times New Roman"/>
          <w:sz w:val="24"/>
          <w:szCs w:val="24"/>
        </w:rPr>
        <w:t xml:space="preserve">prácticas violentas actúan como mensajes </w:t>
      </w:r>
      <w:r>
        <w:rPr>
          <w:rFonts w:ascii="PT Serif" w:hAnsi="PT Serif" w:cs="Times New Roman"/>
          <w:sz w:val="24"/>
          <w:szCs w:val="24"/>
        </w:rPr>
        <w:t xml:space="preserve">que van dirigidos más allá de </w:t>
      </w:r>
      <w:r w:rsidRPr="003B6B20">
        <w:rPr>
          <w:rFonts w:ascii="PT Serif" w:hAnsi="PT Serif" w:cs="Times New Roman"/>
          <w:sz w:val="24"/>
          <w:szCs w:val="24"/>
        </w:rPr>
        <w:t xml:space="preserve">los familiares y círculos sociales cercanos, </w:t>
      </w:r>
      <w:r>
        <w:rPr>
          <w:rFonts w:ascii="PT Serif" w:hAnsi="PT Serif" w:cs="Times New Roman"/>
          <w:sz w:val="24"/>
          <w:szCs w:val="24"/>
        </w:rPr>
        <w:t>ya que</w:t>
      </w:r>
      <w:r w:rsidRPr="003B6B20">
        <w:rPr>
          <w:rFonts w:ascii="PT Serif" w:hAnsi="PT Serif" w:cs="Times New Roman"/>
          <w:sz w:val="24"/>
          <w:szCs w:val="24"/>
        </w:rPr>
        <w:t xml:space="preserve"> también </w:t>
      </w:r>
      <w:r>
        <w:rPr>
          <w:rFonts w:ascii="PT Serif" w:hAnsi="PT Serif" w:cs="Times New Roman"/>
          <w:sz w:val="24"/>
          <w:szCs w:val="24"/>
        </w:rPr>
        <w:t xml:space="preserve">alcanzan a </w:t>
      </w:r>
      <w:r w:rsidRPr="003B6B20">
        <w:rPr>
          <w:rFonts w:ascii="PT Serif" w:hAnsi="PT Serif" w:cs="Times New Roman"/>
          <w:sz w:val="24"/>
          <w:szCs w:val="24"/>
        </w:rPr>
        <w:t>la població</w:t>
      </w:r>
      <w:r>
        <w:rPr>
          <w:rFonts w:ascii="PT Serif" w:hAnsi="PT Serif" w:cs="Times New Roman"/>
          <w:sz w:val="24"/>
          <w:szCs w:val="24"/>
        </w:rPr>
        <w:t>n</w:t>
      </w:r>
      <w:r w:rsidRPr="003B6B20">
        <w:rPr>
          <w:rFonts w:ascii="PT Serif" w:hAnsi="PT Serif" w:cs="Times New Roman"/>
          <w:sz w:val="24"/>
          <w:szCs w:val="24"/>
        </w:rPr>
        <w:t xml:space="preserve">. </w:t>
      </w:r>
      <w:r>
        <w:rPr>
          <w:rFonts w:ascii="PT Serif" w:hAnsi="PT Serif" w:cs="Times New Roman"/>
          <w:sz w:val="24"/>
          <w:szCs w:val="24"/>
        </w:rPr>
        <w:t xml:space="preserve">Escribiendo </w:t>
      </w:r>
      <w:r w:rsidRPr="003B6B20">
        <w:rPr>
          <w:rFonts w:ascii="PT Serif" w:hAnsi="PT Serif" w:cs="Times New Roman"/>
          <w:sz w:val="24"/>
          <w:szCs w:val="24"/>
        </w:rPr>
        <w:t xml:space="preserve">lecciones </w:t>
      </w:r>
      <w:r>
        <w:rPr>
          <w:rFonts w:ascii="PT Serif" w:hAnsi="PT Serif" w:cs="Times New Roman"/>
          <w:sz w:val="24"/>
          <w:szCs w:val="24"/>
        </w:rPr>
        <w:t>de</w:t>
      </w:r>
      <w:r w:rsidRPr="003B6B20">
        <w:rPr>
          <w:rFonts w:ascii="PT Serif" w:hAnsi="PT Serif" w:cs="Times New Roman"/>
          <w:sz w:val="24"/>
          <w:szCs w:val="24"/>
        </w:rPr>
        <w:t xml:space="preserve"> </w:t>
      </w:r>
      <w:r>
        <w:rPr>
          <w:rFonts w:ascii="PT Serif" w:hAnsi="PT Serif" w:cs="Times New Roman"/>
          <w:sz w:val="24"/>
          <w:szCs w:val="24"/>
        </w:rPr>
        <w:t>percepción de</w:t>
      </w:r>
      <w:r w:rsidRPr="003B6B20">
        <w:rPr>
          <w:rFonts w:ascii="PT Serif" w:hAnsi="PT Serif" w:cs="Times New Roman"/>
          <w:sz w:val="24"/>
          <w:szCs w:val="24"/>
        </w:rPr>
        <w:t xml:space="preserve"> que cualquiera puede ser desaparecido en cualquier momento</w:t>
      </w:r>
      <w:r>
        <w:rPr>
          <w:rFonts w:ascii="PT Serif" w:hAnsi="PT Serif" w:cs="Times New Roman"/>
          <w:sz w:val="24"/>
          <w:szCs w:val="24"/>
        </w:rPr>
        <w:t>. Se profundiza con esto un dolo</w:t>
      </w:r>
      <w:r w:rsidR="00487151">
        <w:rPr>
          <w:rFonts w:ascii="PT Serif" w:hAnsi="PT Serif" w:cs="Times New Roman"/>
          <w:sz w:val="24"/>
          <w:szCs w:val="24"/>
        </w:rPr>
        <w:t>r</w:t>
      </w:r>
      <w:r>
        <w:rPr>
          <w:rFonts w:ascii="PT Serif" w:hAnsi="PT Serif" w:cs="Times New Roman"/>
          <w:sz w:val="24"/>
          <w:szCs w:val="24"/>
        </w:rPr>
        <w:t xml:space="preserve"> emocional y físico </w:t>
      </w:r>
      <w:r w:rsidR="003C656A">
        <w:rPr>
          <w:rFonts w:ascii="PT Serif" w:hAnsi="PT Serif" w:cs="Times New Roman"/>
          <w:sz w:val="24"/>
          <w:szCs w:val="24"/>
        </w:rPr>
        <w:t xml:space="preserve">que conjunta un duelo truncado, es decir, irresuelto o suspendido (pp. 92-108). </w:t>
      </w:r>
    </w:p>
    <w:p w14:paraId="4E97068D" w14:textId="0AF76DF2" w:rsidR="00363B5C" w:rsidRDefault="003C656A" w:rsidP="007B0ED6">
      <w:pPr>
        <w:spacing w:line="360" w:lineRule="auto"/>
        <w:ind w:firstLine="720"/>
        <w:jc w:val="both"/>
        <w:rPr>
          <w:rFonts w:ascii="PT Serif" w:hAnsi="PT Serif" w:cs="Times New Roman"/>
          <w:sz w:val="24"/>
          <w:szCs w:val="24"/>
        </w:rPr>
      </w:pPr>
      <w:r w:rsidRPr="003C656A">
        <w:rPr>
          <w:rFonts w:ascii="PT Serif" w:hAnsi="PT Serif" w:cs="Times New Roman"/>
          <w:sz w:val="24"/>
          <w:szCs w:val="24"/>
        </w:rPr>
        <w:t xml:space="preserve">De este modo, se puede afirmar que el entramado social, jurídico y cultural en el que se inscribe la desaparición forzada en Perú y México </w:t>
      </w:r>
      <w:r w:rsidR="00006D6B">
        <w:rPr>
          <w:rFonts w:ascii="PT Serif" w:hAnsi="PT Serif" w:cs="Times New Roman"/>
          <w:sz w:val="24"/>
          <w:szCs w:val="24"/>
        </w:rPr>
        <w:t>refleja</w:t>
      </w:r>
      <w:r w:rsidRPr="003C656A">
        <w:rPr>
          <w:rFonts w:ascii="PT Serif" w:hAnsi="PT Serif" w:cs="Times New Roman"/>
          <w:sz w:val="24"/>
          <w:szCs w:val="24"/>
        </w:rPr>
        <w:t xml:space="preserve"> una notoria insuficiencia de las políticas internas para contrarrestar la desestructuración social que este delito ha ocasionado. Ante la ineficacia del Estado para abordar estas </w:t>
      </w:r>
      <w:r w:rsidRPr="003C656A">
        <w:rPr>
          <w:rFonts w:ascii="PT Serif" w:hAnsi="PT Serif" w:cs="Times New Roman"/>
          <w:sz w:val="24"/>
          <w:szCs w:val="24"/>
        </w:rPr>
        <w:lastRenderedPageBreak/>
        <w:t xml:space="preserve">circunstancias, el derecho internacional emerge como último recurso y fuente de esperanza, especialmente a través de instancias como la </w:t>
      </w:r>
      <w:r>
        <w:rPr>
          <w:rFonts w:ascii="PT Serif" w:hAnsi="PT Serif" w:cs="Times New Roman"/>
          <w:sz w:val="24"/>
          <w:szCs w:val="24"/>
        </w:rPr>
        <w:t>C</w:t>
      </w:r>
      <w:r w:rsidRPr="003C656A">
        <w:rPr>
          <w:rFonts w:ascii="PT Serif" w:hAnsi="PT Serif" w:cs="Times New Roman"/>
          <w:sz w:val="24"/>
          <w:szCs w:val="24"/>
        </w:rPr>
        <w:t>oIDH</w:t>
      </w:r>
      <w:r>
        <w:rPr>
          <w:rFonts w:ascii="PT Serif" w:hAnsi="PT Serif" w:cs="Times New Roman"/>
          <w:sz w:val="24"/>
          <w:szCs w:val="24"/>
        </w:rPr>
        <w:t xml:space="preserve"> bajo el entendimiento que se atiende a continuación. </w:t>
      </w:r>
    </w:p>
    <w:p w14:paraId="42084A05" w14:textId="158CA301" w:rsidR="00EF64E3" w:rsidRPr="000430DB" w:rsidRDefault="00EF64E3" w:rsidP="007B0ED6">
      <w:pPr>
        <w:pStyle w:val="Prrafodelista"/>
        <w:numPr>
          <w:ilvl w:val="0"/>
          <w:numId w:val="2"/>
        </w:numPr>
        <w:spacing w:line="360" w:lineRule="auto"/>
        <w:contextualSpacing w:val="0"/>
        <w:jc w:val="both"/>
        <w:rPr>
          <w:rFonts w:ascii="PT Serif" w:hAnsi="PT Serif" w:cs="Times New Roman"/>
          <w:b/>
          <w:bCs/>
          <w:i/>
          <w:iCs/>
          <w:smallCaps/>
          <w:sz w:val="24"/>
          <w:szCs w:val="24"/>
        </w:rPr>
      </w:pPr>
      <w:r w:rsidRPr="000430DB">
        <w:rPr>
          <w:rFonts w:ascii="PT Serif" w:hAnsi="PT Serif" w:cs="Times New Roman"/>
          <w:b/>
          <w:bCs/>
          <w:i/>
          <w:iCs/>
          <w:smallCaps/>
          <w:sz w:val="24"/>
          <w:szCs w:val="24"/>
        </w:rPr>
        <w:t xml:space="preserve">LAS SENTENCIAS DE LA CORTE CONTRA PERÚ </w:t>
      </w:r>
      <w:r w:rsidR="00276A41">
        <w:rPr>
          <w:rFonts w:ascii="PT Serif" w:hAnsi="PT Serif" w:cs="Times New Roman"/>
          <w:b/>
          <w:bCs/>
          <w:i/>
          <w:iCs/>
          <w:smallCaps/>
          <w:sz w:val="24"/>
          <w:szCs w:val="24"/>
        </w:rPr>
        <w:t xml:space="preserve">Y MÉXICO </w:t>
      </w:r>
      <w:r w:rsidRPr="000430DB">
        <w:rPr>
          <w:rFonts w:ascii="PT Serif" w:hAnsi="PT Serif" w:cs="Times New Roman"/>
          <w:b/>
          <w:bCs/>
          <w:i/>
          <w:iCs/>
          <w:smallCaps/>
          <w:sz w:val="24"/>
          <w:szCs w:val="24"/>
        </w:rPr>
        <w:t>EN MATERIA DE DESAPARICIÓN FORZADA</w:t>
      </w:r>
    </w:p>
    <w:p w14:paraId="02BF36F4" w14:textId="381F214A" w:rsidR="00BB1012" w:rsidRDefault="003C656A" w:rsidP="007B0ED6">
      <w:pPr>
        <w:spacing w:line="360" w:lineRule="auto"/>
        <w:ind w:firstLine="720"/>
        <w:jc w:val="both"/>
        <w:rPr>
          <w:rFonts w:ascii="PT Serif" w:hAnsi="PT Serif" w:cs="Times New Roman"/>
          <w:sz w:val="24"/>
          <w:szCs w:val="24"/>
        </w:rPr>
      </w:pPr>
      <w:r>
        <w:rPr>
          <w:rFonts w:ascii="PT Serif" w:hAnsi="PT Serif" w:cs="Times New Roman"/>
          <w:sz w:val="24"/>
          <w:szCs w:val="24"/>
        </w:rPr>
        <w:t>E</w:t>
      </w:r>
      <w:r w:rsidR="00BB1012" w:rsidRPr="00BB1012">
        <w:rPr>
          <w:rFonts w:ascii="PT Serif" w:hAnsi="PT Serif" w:cs="Times New Roman"/>
          <w:sz w:val="24"/>
          <w:szCs w:val="24"/>
        </w:rPr>
        <w:t xml:space="preserve">l contexto expuesto, </w:t>
      </w:r>
      <w:r w:rsidR="00BB1012">
        <w:rPr>
          <w:rFonts w:ascii="PT Serif" w:hAnsi="PT Serif" w:cs="Times New Roman"/>
          <w:sz w:val="24"/>
          <w:szCs w:val="24"/>
        </w:rPr>
        <w:t>demarcado por la perduración de los efectos y falta de respuesta efectiva por los Estados</w:t>
      </w:r>
      <w:r w:rsidR="00BB1012" w:rsidRPr="00BB1012">
        <w:rPr>
          <w:rFonts w:ascii="PT Serif" w:hAnsi="PT Serif" w:cs="Times New Roman"/>
          <w:sz w:val="24"/>
          <w:szCs w:val="24"/>
        </w:rPr>
        <w:t xml:space="preserve">, ha propiciado la intervención de instancias internacionales, destacando </w:t>
      </w:r>
      <w:r w:rsidR="00363B5C">
        <w:rPr>
          <w:rFonts w:ascii="PT Serif" w:hAnsi="PT Serif" w:cs="Times New Roman"/>
          <w:sz w:val="24"/>
          <w:szCs w:val="24"/>
        </w:rPr>
        <w:t>-</w:t>
      </w:r>
      <w:r w:rsidR="00BB1012" w:rsidRPr="00BB1012">
        <w:rPr>
          <w:rFonts w:ascii="PT Serif" w:hAnsi="PT Serif" w:cs="Times New Roman"/>
          <w:sz w:val="24"/>
          <w:szCs w:val="24"/>
        </w:rPr>
        <w:t>como se indicó al inicio</w:t>
      </w:r>
      <w:r w:rsidR="00363B5C">
        <w:rPr>
          <w:rFonts w:ascii="PT Serif" w:hAnsi="PT Serif" w:cs="Times New Roman"/>
          <w:sz w:val="24"/>
          <w:szCs w:val="24"/>
        </w:rPr>
        <w:t>-</w:t>
      </w:r>
      <w:r w:rsidR="00BB1012" w:rsidRPr="00BB1012">
        <w:rPr>
          <w:rFonts w:ascii="PT Serif" w:hAnsi="PT Serif" w:cs="Times New Roman"/>
          <w:sz w:val="24"/>
          <w:szCs w:val="24"/>
        </w:rPr>
        <w:t xml:space="preserve"> la participación de la CoIDH. Esta intervención se ha robustecido conforme a la evolución de sus facultades </w:t>
      </w:r>
      <w:r w:rsidR="00BB1012" w:rsidRPr="00074E2D">
        <w:rPr>
          <w:rFonts w:ascii="PT Serif" w:hAnsi="PT Serif" w:cs="Times New Roman"/>
          <w:sz w:val="24"/>
          <w:szCs w:val="24"/>
        </w:rPr>
        <w:t>contenciosas</w:t>
      </w:r>
      <w:r w:rsidR="00E84B96" w:rsidRPr="00074E2D">
        <w:rPr>
          <w:rFonts w:ascii="PT Serif" w:hAnsi="PT Serif" w:cs="Times New Roman"/>
          <w:sz w:val="24"/>
          <w:szCs w:val="24"/>
        </w:rPr>
        <w:t xml:space="preserve"> </w:t>
      </w:r>
      <w:r w:rsidR="00BB1012" w:rsidRPr="00074E2D">
        <w:rPr>
          <w:rFonts w:ascii="PT Serif" w:hAnsi="PT Serif" w:cs="Times New Roman"/>
          <w:sz w:val="24"/>
          <w:szCs w:val="24"/>
        </w:rPr>
        <w:t>y</w:t>
      </w:r>
      <w:r w:rsidR="00BB1012" w:rsidRPr="00BB1012">
        <w:rPr>
          <w:rFonts w:ascii="PT Serif" w:hAnsi="PT Serif" w:cs="Times New Roman"/>
          <w:sz w:val="24"/>
          <w:szCs w:val="24"/>
        </w:rPr>
        <w:t xml:space="preserve"> ha derivado, a partir de su reiterada actuación en la materia, en la consolidación de una </w:t>
      </w:r>
      <w:r w:rsidR="000E2144">
        <w:rPr>
          <w:rFonts w:ascii="PT Serif" w:hAnsi="PT Serif" w:cs="Times New Roman"/>
          <w:sz w:val="24"/>
          <w:szCs w:val="24"/>
        </w:rPr>
        <w:t>“</w:t>
      </w:r>
      <w:r w:rsidR="00BB1012" w:rsidRPr="00BB1012">
        <w:rPr>
          <w:rFonts w:ascii="PT Serif" w:hAnsi="PT Serif" w:cs="Times New Roman"/>
          <w:sz w:val="24"/>
          <w:szCs w:val="24"/>
        </w:rPr>
        <w:t>perspectiva comprensiva de la pluriofensividad de los derechos afectados y del carácter permanente de la figura de la desaparición forzada de personas</w:t>
      </w:r>
      <w:r w:rsidR="000E2144">
        <w:rPr>
          <w:rFonts w:ascii="PT Serif" w:hAnsi="PT Serif" w:cs="Times New Roman"/>
          <w:sz w:val="24"/>
          <w:szCs w:val="24"/>
        </w:rPr>
        <w:t>”</w:t>
      </w:r>
      <w:r w:rsidR="00BB1012" w:rsidRPr="00BB1012">
        <w:rPr>
          <w:rFonts w:ascii="PT Serif" w:hAnsi="PT Serif" w:cs="Times New Roman"/>
          <w:sz w:val="24"/>
          <w:szCs w:val="24"/>
        </w:rPr>
        <w:t xml:space="preserve"> (Ferrer y Góngora, 2020, p. 45).</w:t>
      </w:r>
    </w:p>
    <w:p w14:paraId="5CAF8DC8" w14:textId="2EFD53F3" w:rsidR="00E91A44" w:rsidRDefault="00E91A44" w:rsidP="007B0ED6">
      <w:pPr>
        <w:spacing w:line="360" w:lineRule="auto"/>
        <w:ind w:firstLine="720"/>
        <w:jc w:val="both"/>
        <w:rPr>
          <w:rFonts w:ascii="PT Serif" w:hAnsi="PT Serif" w:cs="Times New Roman"/>
          <w:sz w:val="24"/>
          <w:szCs w:val="24"/>
        </w:rPr>
      </w:pPr>
      <w:r w:rsidRPr="00E91A44">
        <w:rPr>
          <w:rFonts w:ascii="PT Serif" w:hAnsi="PT Serif" w:cs="Times New Roman"/>
          <w:sz w:val="24"/>
          <w:szCs w:val="24"/>
        </w:rPr>
        <w:t xml:space="preserve">En este sentido, la CoIDH se consolida como el órgano que ha establecido las bases para la conceptualización jurídica de la desaparición forzada como una violación múltiple, compleja y continuada de diversos derechos consagrados en la </w:t>
      </w:r>
      <w:r w:rsidR="000C2483">
        <w:rPr>
          <w:rFonts w:ascii="PT Serif" w:hAnsi="PT Serif" w:cs="Times New Roman"/>
          <w:sz w:val="24"/>
          <w:szCs w:val="24"/>
        </w:rPr>
        <w:t>Convención Americana sobre Derechos Humanos (CADH)</w:t>
      </w:r>
      <w:r w:rsidRPr="00E91A44">
        <w:rPr>
          <w:rFonts w:ascii="PT Serif" w:hAnsi="PT Serif" w:cs="Times New Roman"/>
          <w:sz w:val="24"/>
          <w:szCs w:val="24"/>
        </w:rPr>
        <w:t xml:space="preserve">. Tal configuración comenzó </w:t>
      </w:r>
      <w:r w:rsidR="000C30A1">
        <w:rPr>
          <w:rFonts w:ascii="PT Serif" w:hAnsi="PT Serif" w:cs="Times New Roman"/>
          <w:sz w:val="24"/>
          <w:szCs w:val="24"/>
        </w:rPr>
        <w:t xml:space="preserve">nada más que </w:t>
      </w:r>
      <w:r w:rsidRPr="00E91A44">
        <w:rPr>
          <w:rFonts w:ascii="PT Serif" w:hAnsi="PT Serif" w:cs="Times New Roman"/>
          <w:sz w:val="24"/>
          <w:szCs w:val="24"/>
        </w:rPr>
        <w:t>con su primera sentencia, Velásquez Rodríguez vs. Honduras, la cual resultó decisiva en la construcción doctrinal y jurisprudencial de las obligaciones estatales y de los elementos constitutivos de esta figura (Ferrer, 2014, p. 49)</w:t>
      </w:r>
      <w:r w:rsidR="00502273">
        <w:rPr>
          <w:rFonts w:ascii="PT Serif" w:hAnsi="PT Serif" w:cs="Times New Roman"/>
          <w:sz w:val="24"/>
          <w:szCs w:val="24"/>
        </w:rPr>
        <w:t>, lo cual no resultó ajeno a los Estados de Perú y México</w:t>
      </w:r>
      <w:r w:rsidR="0036698B">
        <w:rPr>
          <w:rFonts w:ascii="PT Serif" w:hAnsi="PT Serif" w:cs="Times New Roman"/>
          <w:sz w:val="24"/>
          <w:szCs w:val="24"/>
        </w:rPr>
        <w:t xml:space="preserve"> </w:t>
      </w:r>
      <w:r w:rsidR="00502273">
        <w:rPr>
          <w:rFonts w:ascii="PT Serif" w:hAnsi="PT Serif" w:cs="Times New Roman"/>
          <w:sz w:val="24"/>
          <w:szCs w:val="24"/>
        </w:rPr>
        <w:t>pues</w:t>
      </w:r>
      <w:r w:rsidR="0036698B">
        <w:rPr>
          <w:rFonts w:ascii="PT Serif" w:hAnsi="PT Serif" w:cs="Times New Roman"/>
          <w:sz w:val="24"/>
          <w:szCs w:val="24"/>
        </w:rPr>
        <w:t>,</w:t>
      </w:r>
      <w:r w:rsidR="00502273">
        <w:rPr>
          <w:rFonts w:ascii="PT Serif" w:hAnsi="PT Serif" w:cs="Times New Roman"/>
          <w:sz w:val="24"/>
          <w:szCs w:val="24"/>
        </w:rPr>
        <w:t xml:space="preserve"> además de entenderse criterio en ambos países sobre la vinculatoriedad de la jurisprudencia interamericana independientemente de a quien vaya dirigida la sentencia, terminaron ser estos países el complemento a lo que la responsabilidad estatal por desaparición forzada significa</w:t>
      </w:r>
      <w:r w:rsidR="000C30A1">
        <w:rPr>
          <w:rFonts w:ascii="PT Serif" w:hAnsi="PT Serif" w:cs="Times New Roman"/>
          <w:sz w:val="24"/>
          <w:szCs w:val="24"/>
        </w:rPr>
        <w:t xml:space="preserve">, </w:t>
      </w:r>
      <w:r w:rsidR="003C656A">
        <w:rPr>
          <w:rFonts w:ascii="PT Serif" w:hAnsi="PT Serif" w:cs="Times New Roman"/>
          <w:sz w:val="24"/>
          <w:szCs w:val="24"/>
        </w:rPr>
        <w:t>esto por haberse</w:t>
      </w:r>
      <w:r w:rsidR="00502273">
        <w:rPr>
          <w:rFonts w:ascii="PT Serif" w:hAnsi="PT Serif" w:cs="Times New Roman"/>
          <w:sz w:val="24"/>
          <w:szCs w:val="24"/>
        </w:rPr>
        <w:t xml:space="preserve"> dictado múltiples sentencias en su contra.   </w:t>
      </w:r>
    </w:p>
    <w:p w14:paraId="1B30B0AE" w14:textId="1601E9DD" w:rsidR="0036698B" w:rsidRDefault="0036698B" w:rsidP="007B0ED6">
      <w:pPr>
        <w:spacing w:line="360" w:lineRule="auto"/>
        <w:ind w:firstLine="720"/>
        <w:jc w:val="both"/>
        <w:rPr>
          <w:rFonts w:ascii="PT Serif" w:hAnsi="PT Serif" w:cs="Times New Roman"/>
          <w:sz w:val="24"/>
          <w:szCs w:val="24"/>
        </w:rPr>
      </w:pPr>
      <w:r>
        <w:rPr>
          <w:rFonts w:ascii="PT Serif" w:hAnsi="PT Serif" w:cs="Times New Roman"/>
          <w:sz w:val="24"/>
          <w:szCs w:val="24"/>
        </w:rPr>
        <w:lastRenderedPageBreak/>
        <w:t>Es aquí donde entra el cuestionamiento central de este estudio relativo al cambio que estas decisiones internacionales han tenido en el marco de</w:t>
      </w:r>
      <w:r w:rsidR="000C30A1">
        <w:rPr>
          <w:rFonts w:ascii="PT Serif" w:hAnsi="PT Serif" w:cs="Times New Roman"/>
          <w:sz w:val="24"/>
          <w:szCs w:val="24"/>
        </w:rPr>
        <w:t>l</w:t>
      </w:r>
      <w:r>
        <w:rPr>
          <w:rFonts w:ascii="PT Serif" w:hAnsi="PT Serif" w:cs="Times New Roman"/>
          <w:sz w:val="24"/>
          <w:szCs w:val="24"/>
        </w:rPr>
        <w:t xml:space="preserve"> derecho </w:t>
      </w:r>
      <w:r w:rsidR="000C30A1">
        <w:rPr>
          <w:rFonts w:ascii="PT Serif" w:hAnsi="PT Serif" w:cs="Times New Roman"/>
          <w:sz w:val="24"/>
          <w:szCs w:val="24"/>
        </w:rPr>
        <w:t>y reparación de víctimas, ya que en reitero de que la CoIDH figura ser el anhelo de encontrar finalmente justicia, su efectividad se vuelve imprescindible</w:t>
      </w:r>
      <w:r w:rsidR="00811EB1">
        <w:rPr>
          <w:rFonts w:ascii="PT Serif" w:hAnsi="PT Serif" w:cs="Times New Roman"/>
          <w:sz w:val="24"/>
          <w:szCs w:val="24"/>
        </w:rPr>
        <w:t>.</w:t>
      </w:r>
      <w:r w:rsidR="000C30A1">
        <w:rPr>
          <w:rFonts w:ascii="PT Serif" w:hAnsi="PT Serif" w:cs="Times New Roman"/>
          <w:sz w:val="24"/>
          <w:szCs w:val="24"/>
        </w:rPr>
        <w:t xml:space="preserve"> </w:t>
      </w:r>
    </w:p>
    <w:p w14:paraId="6F829DFC" w14:textId="40CA6826" w:rsidR="006903C4" w:rsidRDefault="000C30A1"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Para comprender tal efectividad es menester afocarnos en las medidas reparatorias impuestas en cada una de las sentencias </w:t>
      </w:r>
      <w:r w:rsidR="006903C4">
        <w:rPr>
          <w:rFonts w:ascii="PT Serif" w:hAnsi="PT Serif" w:cs="Times New Roman"/>
          <w:sz w:val="24"/>
          <w:szCs w:val="24"/>
        </w:rPr>
        <w:t>condenatorias para</w:t>
      </w:r>
      <w:r>
        <w:rPr>
          <w:rFonts w:ascii="PT Serif" w:hAnsi="PT Serif" w:cs="Times New Roman"/>
          <w:sz w:val="24"/>
          <w:szCs w:val="24"/>
        </w:rPr>
        <w:t xml:space="preserve"> </w:t>
      </w:r>
      <w:r w:rsidR="006903C4">
        <w:rPr>
          <w:rFonts w:ascii="PT Serif" w:hAnsi="PT Serif" w:cs="Times New Roman"/>
          <w:sz w:val="24"/>
          <w:szCs w:val="24"/>
        </w:rPr>
        <w:t>posteriormente valorar, acorde las resoluciones de supervisión de cumplimiento, el estatus en que se encuentran completadas</w:t>
      </w:r>
      <w:r w:rsidR="00811EB1">
        <w:rPr>
          <w:rFonts w:ascii="PT Serif" w:hAnsi="PT Serif" w:cs="Times New Roman"/>
          <w:sz w:val="24"/>
          <w:szCs w:val="24"/>
        </w:rPr>
        <w:t xml:space="preserve">. </w:t>
      </w:r>
      <w:r w:rsidR="006903C4">
        <w:rPr>
          <w:rFonts w:ascii="PT Serif" w:hAnsi="PT Serif" w:cs="Times New Roman"/>
          <w:sz w:val="24"/>
          <w:szCs w:val="24"/>
        </w:rPr>
        <w:t xml:space="preserve"> </w:t>
      </w:r>
    </w:p>
    <w:p w14:paraId="1F241277" w14:textId="3FEE98EA" w:rsidR="00302629" w:rsidRDefault="006903C4" w:rsidP="007B0ED6">
      <w:pPr>
        <w:spacing w:line="360" w:lineRule="auto"/>
        <w:ind w:firstLine="720"/>
        <w:jc w:val="both"/>
        <w:rPr>
          <w:rFonts w:ascii="PT Serif" w:hAnsi="PT Serif" w:cs="Times New Roman"/>
          <w:sz w:val="24"/>
          <w:szCs w:val="24"/>
        </w:rPr>
      </w:pPr>
      <w:r>
        <w:rPr>
          <w:rFonts w:ascii="PT Serif" w:hAnsi="PT Serif" w:cs="Times New Roman"/>
          <w:sz w:val="24"/>
          <w:szCs w:val="24"/>
        </w:rPr>
        <w:t>En virtud de lo anterior</w:t>
      </w:r>
      <w:r w:rsidR="000C30A1">
        <w:rPr>
          <w:rFonts w:ascii="PT Serif" w:hAnsi="PT Serif" w:cs="Times New Roman"/>
          <w:sz w:val="24"/>
          <w:szCs w:val="24"/>
        </w:rPr>
        <w:t>,</w:t>
      </w:r>
      <w:r>
        <w:rPr>
          <w:rFonts w:ascii="PT Serif" w:hAnsi="PT Serif" w:cs="Times New Roman"/>
          <w:sz w:val="24"/>
          <w:szCs w:val="24"/>
        </w:rPr>
        <w:t xml:space="preserve"> partimos de identificar</w:t>
      </w:r>
      <w:r w:rsidR="000C30A1">
        <w:rPr>
          <w:rFonts w:ascii="PT Serif" w:hAnsi="PT Serif" w:cs="Times New Roman"/>
          <w:sz w:val="24"/>
          <w:szCs w:val="24"/>
        </w:rPr>
        <w:t xml:space="preserve"> </w:t>
      </w:r>
      <w:r>
        <w:rPr>
          <w:rFonts w:ascii="PT Serif" w:hAnsi="PT Serif" w:cs="Times New Roman"/>
          <w:sz w:val="24"/>
          <w:szCs w:val="24"/>
        </w:rPr>
        <w:t>cuáles</w:t>
      </w:r>
      <w:r w:rsidR="000C30A1">
        <w:rPr>
          <w:rFonts w:ascii="PT Serif" w:hAnsi="PT Serif" w:cs="Times New Roman"/>
          <w:sz w:val="24"/>
          <w:szCs w:val="24"/>
        </w:rPr>
        <w:t xml:space="preserve"> </w:t>
      </w:r>
      <w:r>
        <w:rPr>
          <w:rFonts w:ascii="PT Serif" w:hAnsi="PT Serif" w:cs="Times New Roman"/>
          <w:sz w:val="24"/>
          <w:szCs w:val="24"/>
        </w:rPr>
        <w:t>son</w:t>
      </w:r>
      <w:r w:rsidR="000E2144">
        <w:rPr>
          <w:rFonts w:ascii="PT Serif" w:hAnsi="PT Serif" w:cs="Times New Roman"/>
          <w:sz w:val="24"/>
          <w:szCs w:val="24"/>
        </w:rPr>
        <w:t xml:space="preserve"> las</w:t>
      </w:r>
      <w:r w:rsidR="000C30A1">
        <w:rPr>
          <w:rFonts w:ascii="PT Serif" w:hAnsi="PT Serif" w:cs="Times New Roman"/>
          <w:sz w:val="24"/>
          <w:szCs w:val="24"/>
        </w:rPr>
        <w:t xml:space="preserve"> </w:t>
      </w:r>
      <w:r w:rsidR="001A742C" w:rsidRPr="000430DB">
        <w:rPr>
          <w:rFonts w:ascii="PT Serif" w:hAnsi="PT Serif" w:cs="Times New Roman"/>
          <w:sz w:val="24"/>
          <w:szCs w:val="24"/>
        </w:rPr>
        <w:t>sentencia</w:t>
      </w:r>
      <w:r w:rsidR="00515E47" w:rsidRPr="000430DB">
        <w:rPr>
          <w:rFonts w:ascii="PT Serif" w:hAnsi="PT Serif" w:cs="Times New Roman"/>
          <w:sz w:val="24"/>
          <w:szCs w:val="24"/>
        </w:rPr>
        <w:t>s</w:t>
      </w:r>
      <w:r w:rsidR="000C30A1">
        <w:rPr>
          <w:rFonts w:ascii="PT Serif" w:hAnsi="PT Serif" w:cs="Times New Roman"/>
          <w:sz w:val="24"/>
          <w:szCs w:val="24"/>
        </w:rPr>
        <w:t xml:space="preserve"> en la materia</w:t>
      </w:r>
      <w:r w:rsidR="000E2144">
        <w:rPr>
          <w:rFonts w:ascii="PT Serif" w:hAnsi="PT Serif" w:cs="Times New Roman"/>
          <w:sz w:val="24"/>
          <w:szCs w:val="24"/>
        </w:rPr>
        <w:t xml:space="preserve"> en cada uno de los Estados</w:t>
      </w:r>
      <w:r>
        <w:rPr>
          <w:rFonts w:ascii="PT Serif" w:hAnsi="PT Serif" w:cs="Times New Roman"/>
          <w:sz w:val="24"/>
          <w:szCs w:val="24"/>
        </w:rPr>
        <w:t>. Siendo que, e</w:t>
      </w:r>
      <w:r w:rsidR="000C30A1">
        <w:rPr>
          <w:rFonts w:ascii="PT Serif" w:hAnsi="PT Serif" w:cs="Times New Roman"/>
          <w:sz w:val="24"/>
          <w:szCs w:val="24"/>
        </w:rPr>
        <w:t xml:space="preserve">n seguimiento </w:t>
      </w:r>
      <w:r>
        <w:rPr>
          <w:rFonts w:ascii="PT Serif" w:hAnsi="PT Serif" w:cs="Times New Roman"/>
          <w:sz w:val="24"/>
          <w:szCs w:val="24"/>
        </w:rPr>
        <w:t>al</w:t>
      </w:r>
      <w:r w:rsidR="000C30A1">
        <w:rPr>
          <w:rFonts w:ascii="PT Serif" w:hAnsi="PT Serif" w:cs="Times New Roman"/>
          <w:sz w:val="24"/>
          <w:szCs w:val="24"/>
        </w:rPr>
        <w:t xml:space="preserve"> orden cronológico en que se emitieron, son las siguientes: </w:t>
      </w:r>
    </w:p>
    <w:p w14:paraId="603C38BA" w14:textId="288D9686" w:rsidR="00EF64E3" w:rsidRPr="00363B5C" w:rsidRDefault="001A742C" w:rsidP="007B0ED6">
      <w:pPr>
        <w:pStyle w:val="Prrafodelista"/>
        <w:numPr>
          <w:ilvl w:val="0"/>
          <w:numId w:val="28"/>
        </w:numPr>
        <w:spacing w:line="360" w:lineRule="auto"/>
        <w:ind w:left="714" w:hanging="357"/>
        <w:contextualSpacing w:val="0"/>
        <w:jc w:val="both"/>
        <w:rPr>
          <w:rFonts w:ascii="PT Serif" w:hAnsi="PT Serif" w:cs="Times New Roman"/>
          <w:sz w:val="24"/>
          <w:szCs w:val="24"/>
        </w:rPr>
      </w:pPr>
      <w:r w:rsidRPr="00363B5C">
        <w:rPr>
          <w:rFonts w:ascii="PT Serif" w:hAnsi="PT Serif" w:cs="Times New Roman"/>
          <w:sz w:val="24"/>
          <w:szCs w:val="24"/>
        </w:rPr>
        <w:t xml:space="preserve">Perú: </w:t>
      </w:r>
      <w:r w:rsidR="003315E4" w:rsidRPr="00363B5C">
        <w:rPr>
          <w:rFonts w:ascii="PT Serif" w:hAnsi="PT Serif" w:cs="Times New Roman"/>
          <w:sz w:val="24"/>
          <w:szCs w:val="24"/>
        </w:rPr>
        <w:t xml:space="preserve">Caso Castillo Páez; Caso Durand y Ugarte; Caso Gómez Palomino; Caso La Cantuta; Caso Osorio Rivera y familiares; Caso Comunidad Campesina de Santa Bárbara; Caso Tenorio Roca y otros; </w:t>
      </w:r>
      <w:bookmarkStart w:id="5" w:name="_Hlk189828350"/>
      <w:r w:rsidR="003315E4" w:rsidRPr="00363B5C">
        <w:rPr>
          <w:rFonts w:ascii="PT Serif" w:hAnsi="PT Serif" w:cs="Times New Roman"/>
          <w:sz w:val="24"/>
          <w:szCs w:val="24"/>
        </w:rPr>
        <w:t>Caso Munárriz Escobar y otros</w:t>
      </w:r>
      <w:bookmarkEnd w:id="5"/>
      <w:r w:rsidR="003315E4" w:rsidRPr="00363B5C">
        <w:rPr>
          <w:rFonts w:ascii="PT Serif" w:hAnsi="PT Serif" w:cs="Times New Roman"/>
          <w:sz w:val="24"/>
          <w:szCs w:val="24"/>
        </w:rPr>
        <w:t xml:space="preserve">; </w:t>
      </w:r>
      <w:r w:rsidR="005F0ACA" w:rsidRPr="00363B5C">
        <w:rPr>
          <w:rFonts w:ascii="PT Serif" w:hAnsi="PT Serif" w:cs="Times New Roman"/>
          <w:sz w:val="24"/>
          <w:szCs w:val="24"/>
        </w:rPr>
        <w:t xml:space="preserve">y </w:t>
      </w:r>
      <w:r w:rsidR="003315E4" w:rsidRPr="00363B5C">
        <w:rPr>
          <w:rFonts w:ascii="PT Serif" w:hAnsi="PT Serif" w:cs="Times New Roman"/>
          <w:sz w:val="24"/>
          <w:szCs w:val="24"/>
        </w:rPr>
        <w:t>Caso Terrones Silva y otros</w:t>
      </w:r>
      <w:r w:rsidR="005F0ACA" w:rsidRPr="000430DB">
        <w:rPr>
          <w:rStyle w:val="Refdenotaalpie"/>
          <w:rFonts w:ascii="PT Serif" w:hAnsi="PT Serif" w:cs="Times New Roman"/>
          <w:sz w:val="24"/>
          <w:szCs w:val="24"/>
        </w:rPr>
        <w:footnoteReference w:id="6"/>
      </w:r>
      <w:r w:rsidR="00562F30" w:rsidRPr="00363B5C">
        <w:rPr>
          <w:rFonts w:ascii="PT Serif" w:hAnsi="PT Serif" w:cs="Times New Roman"/>
          <w:sz w:val="24"/>
          <w:szCs w:val="24"/>
        </w:rPr>
        <w:t>.</w:t>
      </w:r>
    </w:p>
    <w:p w14:paraId="34461105" w14:textId="156EBB7B" w:rsidR="00EF64E3" w:rsidRPr="00363B5C" w:rsidRDefault="003315E4" w:rsidP="007B0ED6">
      <w:pPr>
        <w:pStyle w:val="Prrafodelista"/>
        <w:numPr>
          <w:ilvl w:val="0"/>
          <w:numId w:val="28"/>
        </w:numPr>
        <w:spacing w:line="360" w:lineRule="auto"/>
        <w:ind w:left="714" w:hanging="357"/>
        <w:contextualSpacing w:val="0"/>
        <w:jc w:val="both"/>
        <w:rPr>
          <w:rFonts w:ascii="PT Serif" w:hAnsi="PT Serif" w:cs="Times New Roman"/>
          <w:sz w:val="24"/>
          <w:szCs w:val="24"/>
        </w:rPr>
      </w:pPr>
      <w:r w:rsidRPr="00363B5C">
        <w:rPr>
          <w:rFonts w:ascii="PT Serif" w:hAnsi="PT Serif" w:cs="Times New Roman"/>
          <w:sz w:val="24"/>
          <w:szCs w:val="24"/>
        </w:rPr>
        <w:t xml:space="preserve">México: Caso Radilla Pacheco; Caso Alvarado Espinoza y otros; y Caso González Méndez y otros. </w:t>
      </w:r>
    </w:p>
    <w:p w14:paraId="0BB63F2B" w14:textId="66B91AD8" w:rsidR="00471CF8" w:rsidRPr="00471CF8" w:rsidRDefault="006903C4"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Ahora bien, </w:t>
      </w:r>
      <w:r w:rsidR="00A64ACB">
        <w:rPr>
          <w:rFonts w:ascii="PT Serif" w:hAnsi="PT Serif" w:cs="Times New Roman"/>
          <w:sz w:val="24"/>
          <w:szCs w:val="24"/>
        </w:rPr>
        <w:t xml:space="preserve">con el objetivo de presentar una información más </w:t>
      </w:r>
      <w:r w:rsidR="000E2144">
        <w:rPr>
          <w:rFonts w:ascii="PT Serif" w:hAnsi="PT Serif" w:cs="Times New Roman"/>
          <w:sz w:val="24"/>
          <w:szCs w:val="24"/>
        </w:rPr>
        <w:t>ordenada y, en consecuencia, comprensible</w:t>
      </w:r>
      <w:r w:rsidR="00A64ACB">
        <w:rPr>
          <w:rFonts w:ascii="PT Serif" w:hAnsi="PT Serif" w:cs="Times New Roman"/>
          <w:sz w:val="24"/>
          <w:szCs w:val="24"/>
        </w:rPr>
        <w:t xml:space="preserve">, se opta inicialmente por identificar las medidas de reparación previstas en las sentencias dictadas contra Perú, para posteriormente hacer lo mismo con el Estado mexicano. En tal sentido dichas medidas, no limitadas a una </w:t>
      </w:r>
      <w:r w:rsidR="00A64ACB">
        <w:rPr>
          <w:rFonts w:ascii="PT Serif" w:hAnsi="PT Serif" w:cs="Times New Roman"/>
          <w:sz w:val="24"/>
          <w:szCs w:val="24"/>
        </w:rPr>
        <w:lastRenderedPageBreak/>
        <w:t xml:space="preserve">sola resolución, sino halladas en la totalidad de jurisprudencia en la materia, son las siguientes: </w:t>
      </w:r>
    </w:p>
    <w:p w14:paraId="2FBAAF35" w14:textId="50991C42" w:rsidR="00EF64E3" w:rsidRPr="000430DB" w:rsidRDefault="005F0ACA" w:rsidP="007B0ED6">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1. Pago de gastos y costas; 2. Pago del daño material; 3. Pago del daño moral; 4. </w:t>
      </w:r>
      <w:r w:rsidR="00D73493">
        <w:rPr>
          <w:rFonts w:ascii="PT Serif" w:hAnsi="PT Serif" w:cs="Times New Roman"/>
          <w:sz w:val="24"/>
          <w:szCs w:val="24"/>
        </w:rPr>
        <w:t>Investigación y/o i</w:t>
      </w:r>
      <w:r w:rsidRPr="000430DB">
        <w:rPr>
          <w:rFonts w:ascii="PT Serif" w:hAnsi="PT Serif" w:cs="Times New Roman"/>
          <w:sz w:val="24"/>
          <w:szCs w:val="24"/>
        </w:rPr>
        <w:t>dentificación y sanción de los responsables; 5.</w:t>
      </w:r>
      <w:r w:rsidR="00D73493">
        <w:rPr>
          <w:rFonts w:ascii="PT Serif" w:hAnsi="PT Serif" w:cs="Times New Roman"/>
          <w:sz w:val="24"/>
          <w:szCs w:val="24"/>
        </w:rPr>
        <w:t xml:space="preserve"> Investigación y/o identificación</w:t>
      </w:r>
      <w:r w:rsidRPr="000430DB">
        <w:rPr>
          <w:rFonts w:ascii="PT Serif" w:hAnsi="PT Serif" w:cs="Times New Roman"/>
          <w:sz w:val="24"/>
          <w:szCs w:val="24"/>
        </w:rPr>
        <w:t xml:space="preserve"> del paradero de las personas desaparecidas</w:t>
      </w:r>
      <w:r w:rsidR="00D73493">
        <w:rPr>
          <w:rFonts w:ascii="PT Serif" w:hAnsi="PT Serif" w:cs="Times New Roman"/>
          <w:sz w:val="24"/>
          <w:szCs w:val="24"/>
        </w:rPr>
        <w:t xml:space="preserve"> o sus </w:t>
      </w:r>
      <w:r w:rsidRPr="000430DB">
        <w:rPr>
          <w:rFonts w:ascii="PT Serif" w:hAnsi="PT Serif" w:cs="Times New Roman"/>
          <w:sz w:val="24"/>
          <w:szCs w:val="24"/>
        </w:rPr>
        <w:t xml:space="preserve">restos </w:t>
      </w:r>
      <w:r w:rsidR="009F2027">
        <w:rPr>
          <w:rFonts w:ascii="PT Serif" w:hAnsi="PT Serif" w:cs="Times New Roman"/>
          <w:sz w:val="24"/>
          <w:szCs w:val="24"/>
        </w:rPr>
        <w:t>mortales</w:t>
      </w:r>
      <w:r w:rsidRPr="000430DB">
        <w:rPr>
          <w:rFonts w:ascii="PT Serif" w:hAnsi="PT Serif" w:cs="Times New Roman"/>
          <w:sz w:val="24"/>
          <w:szCs w:val="24"/>
        </w:rPr>
        <w:t>; 6. Publicación de la sentencia en sus respectivas modalidades (</w:t>
      </w:r>
      <w:r w:rsidR="00197681">
        <w:rPr>
          <w:rFonts w:ascii="PT Serif" w:hAnsi="PT Serif" w:cs="Times New Roman"/>
          <w:sz w:val="24"/>
          <w:szCs w:val="24"/>
        </w:rPr>
        <w:t xml:space="preserve">en el periódico o medio de comunicación respectivo, </w:t>
      </w:r>
      <w:r w:rsidR="00AF0566">
        <w:rPr>
          <w:rFonts w:ascii="PT Serif" w:hAnsi="PT Serif" w:cs="Times New Roman"/>
          <w:sz w:val="24"/>
          <w:szCs w:val="24"/>
        </w:rPr>
        <w:t>incluyéndose</w:t>
      </w:r>
      <w:r w:rsidR="00402A39">
        <w:rPr>
          <w:rFonts w:ascii="PT Serif" w:hAnsi="PT Serif" w:cs="Times New Roman"/>
          <w:sz w:val="24"/>
          <w:szCs w:val="24"/>
        </w:rPr>
        <w:t>, según corresponda, un perdón público</w:t>
      </w:r>
      <w:r w:rsidRPr="000430DB">
        <w:rPr>
          <w:rFonts w:ascii="PT Serif" w:hAnsi="PT Serif" w:cs="Times New Roman"/>
          <w:sz w:val="24"/>
          <w:szCs w:val="24"/>
        </w:rPr>
        <w:t xml:space="preserve">); 7. Prestación de atención médica, psicológica y/o psiquiátrica a las víctimas; 8. Ofrecimiento de servicio de educación a los familiares indicados; 9. Construcción de </w:t>
      </w:r>
      <w:r w:rsidR="00CD3D6B">
        <w:rPr>
          <w:rFonts w:ascii="PT Serif" w:hAnsi="PT Serif" w:cs="Times New Roman"/>
          <w:sz w:val="24"/>
          <w:szCs w:val="24"/>
        </w:rPr>
        <w:t xml:space="preserve">un </w:t>
      </w:r>
      <w:r w:rsidRPr="000430DB">
        <w:rPr>
          <w:rFonts w:ascii="PT Serif" w:hAnsi="PT Serif" w:cs="Times New Roman"/>
          <w:sz w:val="24"/>
          <w:szCs w:val="24"/>
        </w:rPr>
        <w:t xml:space="preserve">monumento conmemorativo; 10. Realización de actos públicos de reconocimiento de responsabilidad internacional; 11. Reintegración al Fondo de Asistencia Legal de Víctimas de la CoIDH; 12. Reforma o inaplicación de leyes locales contrarias a la convención; 13. Capacitación a las Fuerzas Armadas, policía y/o demás autoridades en materia de derechos humanos y/o derecho internacional humanitario; 14. Cumplimiento de determinadas sentencias emitidas por tribunales nacionales; 15. </w:t>
      </w:r>
      <w:r w:rsidR="00CD3D6B">
        <w:rPr>
          <w:rFonts w:ascii="PT Serif" w:hAnsi="PT Serif" w:cs="Times New Roman"/>
          <w:sz w:val="24"/>
          <w:szCs w:val="24"/>
        </w:rPr>
        <w:t>Instar un p</w:t>
      </w:r>
      <w:r w:rsidRPr="000430DB">
        <w:rPr>
          <w:rFonts w:ascii="PT Serif" w:hAnsi="PT Serif" w:cs="Times New Roman"/>
          <w:sz w:val="24"/>
          <w:szCs w:val="24"/>
        </w:rPr>
        <w:t xml:space="preserve">rocedimiento para ratificar Tratados Internacionales; 16. Anunciamiento, a través de medios de comunicación, de la búsqueda de las personas desaparecidas señaladas; 17. Colocación de una placa conmemorativa en un lugar público; 18. </w:t>
      </w:r>
      <w:r w:rsidR="00003771">
        <w:rPr>
          <w:rFonts w:ascii="PT Serif" w:hAnsi="PT Serif" w:cs="Times New Roman"/>
          <w:sz w:val="24"/>
          <w:szCs w:val="24"/>
        </w:rPr>
        <w:t>Suspen</w:t>
      </w:r>
      <w:r w:rsidR="00CD3D6B">
        <w:rPr>
          <w:rFonts w:ascii="PT Serif" w:hAnsi="PT Serif" w:cs="Times New Roman"/>
          <w:sz w:val="24"/>
          <w:szCs w:val="24"/>
        </w:rPr>
        <w:t xml:space="preserve">der la </w:t>
      </w:r>
      <w:r w:rsidR="00AF0566">
        <w:rPr>
          <w:rFonts w:ascii="PT Serif" w:hAnsi="PT Serif" w:cs="Times New Roman"/>
          <w:sz w:val="24"/>
          <w:szCs w:val="24"/>
        </w:rPr>
        <w:t xml:space="preserve">aprobación de </w:t>
      </w:r>
      <w:r w:rsidR="00CD3D6B">
        <w:rPr>
          <w:rFonts w:ascii="PT Serif" w:hAnsi="PT Serif" w:cs="Times New Roman"/>
          <w:sz w:val="24"/>
          <w:szCs w:val="24"/>
        </w:rPr>
        <w:t xml:space="preserve">un </w:t>
      </w:r>
      <w:r w:rsidR="00AF0566">
        <w:rPr>
          <w:rFonts w:ascii="PT Serif" w:hAnsi="PT Serif" w:cs="Times New Roman"/>
          <w:sz w:val="24"/>
          <w:szCs w:val="24"/>
        </w:rPr>
        <w:t xml:space="preserve">indulto o </w:t>
      </w:r>
      <w:r w:rsidR="00CD3D6B">
        <w:rPr>
          <w:rFonts w:ascii="PT Serif" w:hAnsi="PT Serif" w:cs="Times New Roman"/>
          <w:sz w:val="24"/>
          <w:szCs w:val="24"/>
        </w:rPr>
        <w:t xml:space="preserve">una </w:t>
      </w:r>
      <w:r w:rsidR="00AF0566">
        <w:rPr>
          <w:rFonts w:ascii="PT Serif" w:hAnsi="PT Serif" w:cs="Times New Roman"/>
          <w:sz w:val="24"/>
          <w:szCs w:val="24"/>
        </w:rPr>
        <w:t>ley</w:t>
      </w:r>
      <w:r w:rsidRPr="000430DB">
        <w:rPr>
          <w:rFonts w:ascii="PT Serif" w:hAnsi="PT Serif" w:cs="Times New Roman"/>
          <w:sz w:val="24"/>
          <w:szCs w:val="24"/>
        </w:rPr>
        <w:t>; y 19. Entrega de viviendas y alpacas.</w:t>
      </w:r>
    </w:p>
    <w:p w14:paraId="0914E074" w14:textId="6E997166" w:rsidR="00A64ACB" w:rsidRDefault="00A64ACB" w:rsidP="007B0ED6">
      <w:pPr>
        <w:spacing w:line="360" w:lineRule="auto"/>
        <w:ind w:firstLine="720"/>
        <w:jc w:val="both"/>
        <w:rPr>
          <w:rFonts w:ascii="PT Serif" w:hAnsi="PT Serif" w:cs="Times New Roman"/>
          <w:sz w:val="24"/>
          <w:szCs w:val="24"/>
        </w:rPr>
      </w:pPr>
      <w:r>
        <w:rPr>
          <w:rFonts w:ascii="PT Serif" w:hAnsi="PT Serif" w:cs="Times New Roman"/>
          <w:sz w:val="24"/>
          <w:szCs w:val="24"/>
        </w:rPr>
        <w:t xml:space="preserve">Enlistadas las medidas, se procede a mostrar el análisis realizado sobre las mismas para entender el cumplimiento que han tenido. Para ello, se comprenden todas las sentencias de supervisión de cumplimiento </w:t>
      </w:r>
      <w:r w:rsidR="000E2144">
        <w:rPr>
          <w:rFonts w:ascii="PT Serif" w:hAnsi="PT Serif" w:cs="Times New Roman"/>
          <w:sz w:val="24"/>
          <w:szCs w:val="24"/>
        </w:rPr>
        <w:t>con respecto a su correlativa</w:t>
      </w:r>
      <w:r>
        <w:rPr>
          <w:rFonts w:ascii="PT Serif" w:hAnsi="PT Serif" w:cs="Times New Roman"/>
          <w:sz w:val="24"/>
          <w:szCs w:val="24"/>
        </w:rPr>
        <w:t xml:space="preserve"> sentencia condenatoria</w:t>
      </w:r>
      <w:r w:rsidR="000E2144">
        <w:rPr>
          <w:rFonts w:ascii="PT Serif" w:hAnsi="PT Serif" w:cs="Times New Roman"/>
          <w:sz w:val="24"/>
          <w:szCs w:val="24"/>
        </w:rPr>
        <w:t xml:space="preserve">. Se esquematiza en la siguiente tabla: </w:t>
      </w:r>
    </w:p>
    <w:p w14:paraId="4303447A" w14:textId="77777777" w:rsidR="00074E2D" w:rsidRDefault="00074E2D" w:rsidP="007B0ED6">
      <w:pPr>
        <w:spacing w:line="360" w:lineRule="auto"/>
        <w:jc w:val="both"/>
        <w:rPr>
          <w:rFonts w:ascii="PT Serif" w:hAnsi="PT Serif" w:cs="Times New Roman"/>
          <w:sz w:val="24"/>
          <w:szCs w:val="24"/>
        </w:rPr>
      </w:pPr>
    </w:p>
    <w:p w14:paraId="33974750" w14:textId="77777777" w:rsidR="007B0ED6" w:rsidRDefault="007B0ED6" w:rsidP="007B0ED6">
      <w:pPr>
        <w:spacing w:line="360" w:lineRule="auto"/>
        <w:jc w:val="both"/>
        <w:rPr>
          <w:rFonts w:ascii="PT Serif" w:hAnsi="PT Serif" w:cs="Times New Roman"/>
          <w:sz w:val="24"/>
          <w:szCs w:val="24"/>
        </w:rPr>
      </w:pPr>
    </w:p>
    <w:p w14:paraId="6370115E" w14:textId="7F41814A" w:rsidR="00363B5C" w:rsidRPr="00C148C4" w:rsidRDefault="00363B5C" w:rsidP="00363B5C">
      <w:pPr>
        <w:spacing w:line="360" w:lineRule="auto"/>
        <w:jc w:val="both"/>
        <w:rPr>
          <w:rFonts w:ascii="PT Serif" w:hAnsi="PT Serif" w:cs="Times New Roman"/>
          <w:b/>
          <w:bCs/>
        </w:rPr>
      </w:pPr>
      <w:r w:rsidRPr="00C148C4">
        <w:rPr>
          <w:rFonts w:ascii="PT Serif" w:hAnsi="PT Serif" w:cs="Times New Roman"/>
          <w:b/>
          <w:bCs/>
        </w:rPr>
        <w:lastRenderedPageBreak/>
        <w:t>Tabla 1</w:t>
      </w:r>
    </w:p>
    <w:p w14:paraId="1BE31DF3" w14:textId="353160F9" w:rsidR="005F0ACA" w:rsidRPr="00363B5C" w:rsidRDefault="005F0ACA" w:rsidP="00093E65">
      <w:pPr>
        <w:spacing w:line="360" w:lineRule="auto"/>
        <w:jc w:val="both"/>
        <w:rPr>
          <w:rFonts w:ascii="PT Serif" w:hAnsi="PT Serif" w:cs="Times New Roman"/>
        </w:rPr>
      </w:pPr>
      <w:r w:rsidRPr="00363B5C">
        <w:rPr>
          <w:rFonts w:ascii="PT Serif" w:hAnsi="PT Serif" w:cs="Times New Roman"/>
          <w:i/>
          <w:iCs/>
        </w:rPr>
        <w:t xml:space="preserve">Cumplimiento de </w:t>
      </w:r>
      <w:r w:rsidR="002D0C9E" w:rsidRPr="00363B5C">
        <w:rPr>
          <w:rFonts w:ascii="PT Serif" w:hAnsi="PT Serif" w:cs="Times New Roman"/>
          <w:i/>
          <w:iCs/>
        </w:rPr>
        <w:t>m</w:t>
      </w:r>
      <w:r w:rsidRPr="00363B5C">
        <w:rPr>
          <w:rFonts w:ascii="PT Serif" w:hAnsi="PT Serif" w:cs="Times New Roman"/>
          <w:i/>
          <w:iCs/>
        </w:rPr>
        <w:t xml:space="preserve">edidas </w:t>
      </w:r>
      <w:r w:rsidR="002D0C9E" w:rsidRPr="00363B5C">
        <w:rPr>
          <w:rFonts w:ascii="PT Serif" w:hAnsi="PT Serif" w:cs="Times New Roman"/>
          <w:i/>
          <w:iCs/>
        </w:rPr>
        <w:t>r</w:t>
      </w:r>
      <w:r w:rsidRPr="00363B5C">
        <w:rPr>
          <w:rFonts w:ascii="PT Serif" w:hAnsi="PT Serif" w:cs="Times New Roman"/>
          <w:i/>
          <w:iCs/>
        </w:rPr>
        <w:t>eparatorias en casos de Desaparición Forzada en Perú</w:t>
      </w:r>
    </w:p>
    <w:tbl>
      <w:tblPr>
        <w:tblStyle w:val="Tablanormal4"/>
        <w:tblW w:w="5000" w:type="pct"/>
        <w:tblLook w:val="04A0" w:firstRow="1" w:lastRow="0" w:firstColumn="1" w:lastColumn="0" w:noHBand="0" w:noVBand="1"/>
      </w:tblPr>
      <w:tblGrid>
        <w:gridCol w:w="1342"/>
        <w:gridCol w:w="394"/>
        <w:gridCol w:w="394"/>
        <w:gridCol w:w="394"/>
        <w:gridCol w:w="394"/>
        <w:gridCol w:w="394"/>
        <w:gridCol w:w="394"/>
        <w:gridCol w:w="394"/>
        <w:gridCol w:w="394"/>
        <w:gridCol w:w="394"/>
        <w:gridCol w:w="417"/>
        <w:gridCol w:w="417"/>
        <w:gridCol w:w="419"/>
        <w:gridCol w:w="419"/>
        <w:gridCol w:w="419"/>
        <w:gridCol w:w="419"/>
        <w:gridCol w:w="419"/>
        <w:gridCol w:w="419"/>
        <w:gridCol w:w="419"/>
        <w:gridCol w:w="415"/>
      </w:tblGrid>
      <w:tr w:rsidR="00490670" w:rsidRPr="00363B5C" w14:paraId="0379B9D3" w14:textId="77777777" w:rsidTr="00166BDB">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auto"/>
              <w:bottom w:val="single" w:sz="4" w:space="0" w:color="FFFFFF"/>
            </w:tcBorders>
            <w:shd w:val="clear" w:color="auto" w:fill="153D63" w:themeFill="text2" w:themeFillTint="E6"/>
            <w:vAlign w:val="center"/>
          </w:tcPr>
          <w:p w14:paraId="652B5898" w14:textId="53550897" w:rsidR="005F0ACA" w:rsidRPr="00363B5C" w:rsidRDefault="005F0ACA" w:rsidP="00BD4679">
            <w:pPr>
              <w:spacing w:after="160" w:line="278" w:lineRule="auto"/>
              <w:jc w:val="center"/>
              <w:rPr>
                <w:rFonts w:ascii="PT Serif" w:hAnsi="PT Serif"/>
                <w:sz w:val="16"/>
                <w:szCs w:val="16"/>
              </w:rPr>
            </w:pPr>
            <w:bookmarkStart w:id="6" w:name="_Hlk189830410"/>
            <w:r w:rsidRPr="00363B5C">
              <w:rPr>
                <w:rFonts w:ascii="PT Serif" w:hAnsi="PT Serif"/>
                <w:sz w:val="16"/>
                <w:szCs w:val="16"/>
              </w:rPr>
              <w:t>Sentencia</w:t>
            </w:r>
          </w:p>
        </w:tc>
        <w:tc>
          <w:tcPr>
            <w:tcW w:w="217" w:type="pct"/>
            <w:tcBorders>
              <w:top w:val="single" w:sz="4" w:space="0" w:color="auto"/>
              <w:bottom w:val="single" w:sz="4" w:space="0" w:color="FFFFFF"/>
            </w:tcBorders>
            <w:shd w:val="clear" w:color="auto" w:fill="153D63" w:themeFill="text2" w:themeFillTint="E6"/>
            <w:vAlign w:val="center"/>
          </w:tcPr>
          <w:p w14:paraId="4AF29A8E"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w:t>
            </w:r>
          </w:p>
        </w:tc>
        <w:tc>
          <w:tcPr>
            <w:tcW w:w="217" w:type="pct"/>
            <w:tcBorders>
              <w:top w:val="single" w:sz="4" w:space="0" w:color="auto"/>
              <w:bottom w:val="single" w:sz="4" w:space="0" w:color="FFFFFF"/>
            </w:tcBorders>
            <w:shd w:val="clear" w:color="auto" w:fill="153D63" w:themeFill="text2" w:themeFillTint="E6"/>
            <w:vAlign w:val="center"/>
          </w:tcPr>
          <w:p w14:paraId="58202389"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2</w:t>
            </w:r>
          </w:p>
        </w:tc>
        <w:tc>
          <w:tcPr>
            <w:tcW w:w="217" w:type="pct"/>
            <w:tcBorders>
              <w:top w:val="single" w:sz="4" w:space="0" w:color="auto"/>
              <w:bottom w:val="single" w:sz="4" w:space="0" w:color="FFFFFF"/>
            </w:tcBorders>
            <w:shd w:val="clear" w:color="auto" w:fill="153D63" w:themeFill="text2" w:themeFillTint="E6"/>
            <w:vAlign w:val="center"/>
          </w:tcPr>
          <w:p w14:paraId="64001276"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3</w:t>
            </w:r>
          </w:p>
        </w:tc>
        <w:tc>
          <w:tcPr>
            <w:tcW w:w="217" w:type="pct"/>
            <w:tcBorders>
              <w:top w:val="single" w:sz="4" w:space="0" w:color="auto"/>
              <w:bottom w:val="single" w:sz="4" w:space="0" w:color="FFFFFF"/>
            </w:tcBorders>
            <w:shd w:val="clear" w:color="auto" w:fill="153D63" w:themeFill="text2" w:themeFillTint="E6"/>
            <w:vAlign w:val="center"/>
          </w:tcPr>
          <w:p w14:paraId="71D134F2"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4</w:t>
            </w:r>
          </w:p>
        </w:tc>
        <w:tc>
          <w:tcPr>
            <w:tcW w:w="217" w:type="pct"/>
            <w:tcBorders>
              <w:top w:val="single" w:sz="4" w:space="0" w:color="auto"/>
              <w:bottom w:val="single" w:sz="4" w:space="0" w:color="FFFFFF"/>
            </w:tcBorders>
            <w:shd w:val="clear" w:color="auto" w:fill="153D63" w:themeFill="text2" w:themeFillTint="E6"/>
            <w:vAlign w:val="center"/>
          </w:tcPr>
          <w:p w14:paraId="01E92054"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5</w:t>
            </w:r>
          </w:p>
        </w:tc>
        <w:tc>
          <w:tcPr>
            <w:tcW w:w="217" w:type="pct"/>
            <w:tcBorders>
              <w:top w:val="single" w:sz="4" w:space="0" w:color="auto"/>
              <w:bottom w:val="single" w:sz="4" w:space="0" w:color="FFFFFF"/>
            </w:tcBorders>
            <w:shd w:val="clear" w:color="auto" w:fill="153D63" w:themeFill="text2" w:themeFillTint="E6"/>
            <w:vAlign w:val="center"/>
          </w:tcPr>
          <w:p w14:paraId="6789E618"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6</w:t>
            </w:r>
          </w:p>
        </w:tc>
        <w:tc>
          <w:tcPr>
            <w:tcW w:w="217" w:type="pct"/>
            <w:tcBorders>
              <w:top w:val="single" w:sz="4" w:space="0" w:color="auto"/>
              <w:bottom w:val="single" w:sz="4" w:space="0" w:color="FFFFFF"/>
            </w:tcBorders>
            <w:shd w:val="clear" w:color="auto" w:fill="153D63" w:themeFill="text2" w:themeFillTint="E6"/>
            <w:vAlign w:val="center"/>
          </w:tcPr>
          <w:p w14:paraId="304D0DAD"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7</w:t>
            </w:r>
          </w:p>
        </w:tc>
        <w:tc>
          <w:tcPr>
            <w:tcW w:w="217" w:type="pct"/>
            <w:tcBorders>
              <w:top w:val="single" w:sz="4" w:space="0" w:color="auto"/>
              <w:bottom w:val="single" w:sz="4" w:space="0" w:color="FFFFFF"/>
            </w:tcBorders>
            <w:shd w:val="clear" w:color="auto" w:fill="153D63" w:themeFill="text2" w:themeFillTint="E6"/>
            <w:vAlign w:val="center"/>
          </w:tcPr>
          <w:p w14:paraId="17125FFF"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8</w:t>
            </w:r>
          </w:p>
        </w:tc>
        <w:tc>
          <w:tcPr>
            <w:tcW w:w="217" w:type="pct"/>
            <w:tcBorders>
              <w:top w:val="single" w:sz="4" w:space="0" w:color="auto"/>
              <w:bottom w:val="single" w:sz="4" w:space="0" w:color="FFFFFF"/>
            </w:tcBorders>
            <w:shd w:val="clear" w:color="auto" w:fill="153D63" w:themeFill="text2" w:themeFillTint="E6"/>
            <w:vAlign w:val="center"/>
          </w:tcPr>
          <w:p w14:paraId="36F96B51"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9</w:t>
            </w:r>
          </w:p>
        </w:tc>
        <w:tc>
          <w:tcPr>
            <w:tcW w:w="230" w:type="pct"/>
            <w:tcBorders>
              <w:top w:val="single" w:sz="4" w:space="0" w:color="auto"/>
              <w:bottom w:val="single" w:sz="4" w:space="0" w:color="FFFFFF"/>
            </w:tcBorders>
            <w:shd w:val="clear" w:color="auto" w:fill="153D63" w:themeFill="text2" w:themeFillTint="E6"/>
            <w:vAlign w:val="center"/>
          </w:tcPr>
          <w:p w14:paraId="1996C650"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10</w:t>
            </w:r>
          </w:p>
        </w:tc>
        <w:tc>
          <w:tcPr>
            <w:tcW w:w="230" w:type="pct"/>
            <w:tcBorders>
              <w:top w:val="single" w:sz="4" w:space="0" w:color="auto"/>
              <w:bottom w:val="single" w:sz="4" w:space="0" w:color="FFFFFF"/>
            </w:tcBorders>
            <w:shd w:val="clear" w:color="auto" w:fill="153D63" w:themeFill="text2" w:themeFillTint="E6"/>
            <w:vAlign w:val="center"/>
          </w:tcPr>
          <w:p w14:paraId="4842B444"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11</w:t>
            </w:r>
          </w:p>
        </w:tc>
        <w:tc>
          <w:tcPr>
            <w:tcW w:w="231" w:type="pct"/>
            <w:tcBorders>
              <w:top w:val="single" w:sz="4" w:space="0" w:color="auto"/>
              <w:bottom w:val="single" w:sz="4" w:space="0" w:color="FFFFFF"/>
            </w:tcBorders>
            <w:shd w:val="clear" w:color="auto" w:fill="153D63" w:themeFill="text2" w:themeFillTint="E6"/>
            <w:vAlign w:val="center"/>
          </w:tcPr>
          <w:p w14:paraId="420A804D"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12</w:t>
            </w:r>
          </w:p>
        </w:tc>
        <w:tc>
          <w:tcPr>
            <w:tcW w:w="231" w:type="pct"/>
            <w:tcBorders>
              <w:top w:val="single" w:sz="4" w:space="0" w:color="auto"/>
              <w:bottom w:val="single" w:sz="4" w:space="0" w:color="FFFFFF"/>
            </w:tcBorders>
            <w:shd w:val="clear" w:color="auto" w:fill="153D63" w:themeFill="text2" w:themeFillTint="E6"/>
            <w:vAlign w:val="center"/>
          </w:tcPr>
          <w:p w14:paraId="27E8DD85"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13</w:t>
            </w:r>
          </w:p>
        </w:tc>
        <w:tc>
          <w:tcPr>
            <w:tcW w:w="231" w:type="pct"/>
            <w:tcBorders>
              <w:top w:val="single" w:sz="4" w:space="0" w:color="auto"/>
              <w:bottom w:val="single" w:sz="4" w:space="0" w:color="FFFFFF"/>
            </w:tcBorders>
            <w:shd w:val="clear" w:color="auto" w:fill="153D63" w:themeFill="text2" w:themeFillTint="E6"/>
            <w:vAlign w:val="center"/>
          </w:tcPr>
          <w:p w14:paraId="2B86FF19"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14</w:t>
            </w:r>
          </w:p>
        </w:tc>
        <w:tc>
          <w:tcPr>
            <w:tcW w:w="231" w:type="pct"/>
            <w:tcBorders>
              <w:top w:val="single" w:sz="4" w:space="0" w:color="auto"/>
              <w:bottom w:val="single" w:sz="4" w:space="0" w:color="FFFFFF"/>
            </w:tcBorders>
            <w:shd w:val="clear" w:color="auto" w:fill="153D63" w:themeFill="text2" w:themeFillTint="E6"/>
            <w:vAlign w:val="center"/>
          </w:tcPr>
          <w:p w14:paraId="74F53C5E"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15</w:t>
            </w:r>
          </w:p>
        </w:tc>
        <w:tc>
          <w:tcPr>
            <w:tcW w:w="231" w:type="pct"/>
            <w:tcBorders>
              <w:top w:val="single" w:sz="4" w:space="0" w:color="auto"/>
              <w:bottom w:val="single" w:sz="4" w:space="0" w:color="FFFFFF"/>
            </w:tcBorders>
            <w:shd w:val="clear" w:color="auto" w:fill="153D63" w:themeFill="text2" w:themeFillTint="E6"/>
            <w:vAlign w:val="center"/>
          </w:tcPr>
          <w:p w14:paraId="7F19DDA0"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16</w:t>
            </w:r>
          </w:p>
        </w:tc>
        <w:tc>
          <w:tcPr>
            <w:tcW w:w="231" w:type="pct"/>
            <w:tcBorders>
              <w:top w:val="single" w:sz="4" w:space="0" w:color="auto"/>
              <w:bottom w:val="single" w:sz="4" w:space="0" w:color="FFFFFF"/>
            </w:tcBorders>
            <w:shd w:val="clear" w:color="auto" w:fill="153D63" w:themeFill="text2" w:themeFillTint="E6"/>
            <w:vAlign w:val="center"/>
          </w:tcPr>
          <w:p w14:paraId="1E585084"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17</w:t>
            </w:r>
          </w:p>
        </w:tc>
        <w:tc>
          <w:tcPr>
            <w:tcW w:w="231" w:type="pct"/>
            <w:tcBorders>
              <w:top w:val="single" w:sz="4" w:space="0" w:color="auto"/>
              <w:bottom w:val="single" w:sz="4" w:space="0" w:color="FFFFFF"/>
            </w:tcBorders>
            <w:shd w:val="clear" w:color="auto" w:fill="153D63" w:themeFill="text2" w:themeFillTint="E6"/>
            <w:vAlign w:val="center"/>
          </w:tcPr>
          <w:p w14:paraId="3D15A880"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18</w:t>
            </w:r>
          </w:p>
        </w:tc>
        <w:tc>
          <w:tcPr>
            <w:tcW w:w="229" w:type="pct"/>
            <w:tcBorders>
              <w:top w:val="single" w:sz="4" w:space="0" w:color="auto"/>
              <w:bottom w:val="single" w:sz="4" w:space="0" w:color="FFFFFF"/>
            </w:tcBorders>
            <w:shd w:val="clear" w:color="auto" w:fill="153D63" w:themeFill="text2" w:themeFillTint="E6"/>
            <w:vAlign w:val="center"/>
          </w:tcPr>
          <w:p w14:paraId="02EE1A75" w14:textId="77777777" w:rsidR="005F0ACA" w:rsidRPr="00363B5C" w:rsidRDefault="005F0ACA" w:rsidP="00BD4679">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363B5C">
              <w:rPr>
                <w:rFonts w:ascii="PT Serif" w:hAnsi="PT Serif"/>
                <w:b w:val="0"/>
                <w:bCs w:val="0"/>
                <w:sz w:val="16"/>
                <w:szCs w:val="16"/>
              </w:rPr>
              <w:t>19</w:t>
            </w:r>
          </w:p>
        </w:tc>
      </w:tr>
      <w:tr w:rsidR="007B0ED6" w:rsidRPr="00363B5C" w14:paraId="5B15AE4C" w14:textId="77777777" w:rsidTr="00166BD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bottom w:val="single" w:sz="4" w:space="0" w:color="FFFFFF" w:themeColor="background1"/>
            </w:tcBorders>
            <w:shd w:val="clear" w:color="auto" w:fill="153D63" w:themeFill="text2" w:themeFillTint="E6"/>
            <w:vAlign w:val="center"/>
          </w:tcPr>
          <w:p w14:paraId="6FDA736C"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Castillo Páez</w:t>
            </w:r>
          </w:p>
        </w:tc>
        <w:tc>
          <w:tcPr>
            <w:tcW w:w="217" w:type="pct"/>
            <w:tcBorders>
              <w:top w:val="single" w:sz="4" w:space="0" w:color="FFFFFF"/>
            </w:tcBorders>
            <w:vAlign w:val="center"/>
          </w:tcPr>
          <w:p w14:paraId="2A8AE7AB" w14:textId="5C48E8E1" w:rsidR="005F0ACA" w:rsidRPr="00C148C4" w:rsidRDefault="00197681"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tcBorders>
              <w:top w:val="single" w:sz="4" w:space="0" w:color="FFFFFF"/>
            </w:tcBorders>
            <w:vAlign w:val="center"/>
          </w:tcPr>
          <w:p w14:paraId="2DE655FA" w14:textId="262FD446" w:rsidR="005F0ACA" w:rsidRPr="00C148C4" w:rsidRDefault="00197681"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tcBorders>
              <w:top w:val="single" w:sz="4" w:space="0" w:color="FFFFFF"/>
            </w:tcBorders>
            <w:vAlign w:val="center"/>
          </w:tcPr>
          <w:p w14:paraId="787D1CE7" w14:textId="3BD3724B" w:rsidR="005F0ACA" w:rsidRPr="00C148C4" w:rsidRDefault="00197681"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tcBorders>
              <w:top w:val="single" w:sz="4" w:space="0" w:color="FFFFFF"/>
            </w:tcBorders>
            <w:vAlign w:val="center"/>
          </w:tcPr>
          <w:p w14:paraId="72CAB5E3" w14:textId="67888232"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tcBorders>
              <w:top w:val="single" w:sz="4" w:space="0" w:color="FFFFFF"/>
            </w:tcBorders>
            <w:vAlign w:val="center"/>
          </w:tcPr>
          <w:p w14:paraId="65B0BBED" w14:textId="21BFA2B8"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tcBorders>
              <w:top w:val="single" w:sz="4" w:space="0" w:color="FFFFFF"/>
            </w:tcBorders>
            <w:vAlign w:val="center"/>
          </w:tcPr>
          <w:p w14:paraId="482653A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tcBorders>
              <w:top w:val="single" w:sz="4" w:space="0" w:color="FFFFFF"/>
            </w:tcBorders>
            <w:vAlign w:val="center"/>
          </w:tcPr>
          <w:p w14:paraId="01651939"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tcBorders>
              <w:top w:val="single" w:sz="4" w:space="0" w:color="FFFFFF"/>
            </w:tcBorders>
            <w:vAlign w:val="center"/>
          </w:tcPr>
          <w:p w14:paraId="1E855F79"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tcBorders>
              <w:top w:val="single" w:sz="4" w:space="0" w:color="FFFFFF"/>
            </w:tcBorders>
            <w:vAlign w:val="center"/>
          </w:tcPr>
          <w:p w14:paraId="7DAC6E89"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tcBorders>
              <w:top w:val="single" w:sz="4" w:space="0" w:color="FFFFFF"/>
            </w:tcBorders>
            <w:vAlign w:val="center"/>
          </w:tcPr>
          <w:p w14:paraId="5B197158"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tcBorders>
              <w:top w:val="single" w:sz="4" w:space="0" w:color="FFFFFF"/>
            </w:tcBorders>
            <w:vAlign w:val="center"/>
          </w:tcPr>
          <w:p w14:paraId="7A1E3108"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tcBorders>
              <w:top w:val="single" w:sz="4" w:space="0" w:color="FFFFFF"/>
            </w:tcBorders>
            <w:vAlign w:val="center"/>
          </w:tcPr>
          <w:p w14:paraId="734BE79B"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42010E22"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3D880CB0"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275B89B7"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7DBEF9C8"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228178BA"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tcBorders>
              <w:top w:val="single" w:sz="4" w:space="0" w:color="FFFFFF"/>
            </w:tcBorders>
            <w:vAlign w:val="center"/>
          </w:tcPr>
          <w:p w14:paraId="5C012FD7"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29" w:type="pct"/>
            <w:tcBorders>
              <w:top w:val="single" w:sz="4" w:space="0" w:color="FFFFFF"/>
            </w:tcBorders>
            <w:vAlign w:val="center"/>
          </w:tcPr>
          <w:p w14:paraId="349534C1"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r>
      <w:tr w:rsidR="005F0ACA" w:rsidRPr="00363B5C" w14:paraId="3FC3FE0B" w14:textId="77777777" w:rsidTr="00166BDB">
        <w:trPr>
          <w:trHeight w:val="715"/>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tcBorders>
            <w:shd w:val="clear" w:color="auto" w:fill="153D63" w:themeFill="text2" w:themeFillTint="E6"/>
            <w:vAlign w:val="center"/>
          </w:tcPr>
          <w:p w14:paraId="69CC7FCF"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Durand y Ugarte</w:t>
            </w:r>
          </w:p>
        </w:tc>
        <w:tc>
          <w:tcPr>
            <w:tcW w:w="217" w:type="pct"/>
            <w:vAlign w:val="center"/>
          </w:tcPr>
          <w:p w14:paraId="65501F1C" w14:textId="77777777" w:rsidR="005F0ACA" w:rsidRPr="00363B5C"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4DC65920"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4D56064D"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783CA477" w14:textId="4E78F591"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97E6A08" w14:textId="5075B89D"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1B6980A" w14:textId="3966AC82"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4F37706" w14:textId="72170C99"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B29EE48"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02A7167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5F16036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6A8CC83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5EA530E"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9810ED5"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6722FDE8"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4473A94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43246F7" w14:textId="77777777" w:rsidR="005F0ACA" w:rsidRPr="00363B5C"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sz w:val="16"/>
                <w:szCs w:val="16"/>
              </w:rPr>
            </w:pPr>
          </w:p>
        </w:tc>
        <w:tc>
          <w:tcPr>
            <w:tcW w:w="231" w:type="pct"/>
            <w:vAlign w:val="center"/>
          </w:tcPr>
          <w:p w14:paraId="37D9255B" w14:textId="77777777" w:rsidR="005F0ACA" w:rsidRPr="00363B5C"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sz w:val="16"/>
                <w:szCs w:val="16"/>
              </w:rPr>
            </w:pPr>
          </w:p>
        </w:tc>
        <w:tc>
          <w:tcPr>
            <w:tcW w:w="231" w:type="pct"/>
            <w:vAlign w:val="center"/>
          </w:tcPr>
          <w:p w14:paraId="207AF3AB" w14:textId="77777777" w:rsidR="005F0ACA" w:rsidRPr="00363B5C"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sz w:val="16"/>
                <w:szCs w:val="16"/>
              </w:rPr>
            </w:pPr>
          </w:p>
        </w:tc>
        <w:tc>
          <w:tcPr>
            <w:tcW w:w="229" w:type="pct"/>
            <w:vAlign w:val="center"/>
          </w:tcPr>
          <w:p w14:paraId="27E2B845" w14:textId="77777777" w:rsidR="005F0ACA" w:rsidRPr="00363B5C"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sz w:val="16"/>
                <w:szCs w:val="16"/>
              </w:rPr>
            </w:pPr>
          </w:p>
        </w:tc>
      </w:tr>
      <w:tr w:rsidR="007B0ED6" w:rsidRPr="00363B5C" w14:paraId="362B41D5" w14:textId="77777777" w:rsidTr="00166BDB">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cBorders>
            <w:shd w:val="clear" w:color="auto" w:fill="153D63" w:themeFill="text2" w:themeFillTint="E6"/>
            <w:vAlign w:val="center"/>
          </w:tcPr>
          <w:p w14:paraId="6AB0E40C"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Gómez Palomino</w:t>
            </w:r>
          </w:p>
        </w:tc>
        <w:tc>
          <w:tcPr>
            <w:tcW w:w="217" w:type="pct"/>
            <w:vAlign w:val="center"/>
          </w:tcPr>
          <w:p w14:paraId="1F2985BD" w14:textId="267ED61B" w:rsidR="005F0ACA" w:rsidRPr="00363B5C"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363B5C">
              <w:rPr>
                <w:rFonts w:ascii="PT Serif" w:hAnsi="PT Serif" w:cs="Segoe UI Symbol"/>
                <w:color w:val="0E2841" w:themeColor="text2"/>
                <w:sz w:val="16"/>
                <w:szCs w:val="16"/>
              </w:rPr>
              <w:t>X</w:t>
            </w:r>
          </w:p>
        </w:tc>
        <w:tc>
          <w:tcPr>
            <w:tcW w:w="217" w:type="pct"/>
            <w:vAlign w:val="center"/>
          </w:tcPr>
          <w:p w14:paraId="16FC7449" w14:textId="02F07A2B"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E05D914" w14:textId="24DAB6B2"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165B5D2" w14:textId="525A9626"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5FD264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3BB389A1"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71B3B2A9" w14:textId="6DD8A708"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5DA010C" w14:textId="587FD402"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766E261"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710785D7"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48A68AC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827EADC"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6E69D495"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6D0D5016"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2C654DA"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DB20895"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vAlign w:val="center"/>
          </w:tcPr>
          <w:p w14:paraId="320030B8"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31" w:type="pct"/>
            <w:vAlign w:val="center"/>
          </w:tcPr>
          <w:p w14:paraId="4C59CE99"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29" w:type="pct"/>
            <w:vAlign w:val="center"/>
          </w:tcPr>
          <w:p w14:paraId="2C578F90" w14:textId="77777777" w:rsidR="005F0ACA" w:rsidRPr="00363B5C"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r>
      <w:tr w:rsidR="00166BDB" w:rsidRPr="00363B5C" w14:paraId="0207F692" w14:textId="77777777" w:rsidTr="00166BDB">
        <w:trPr>
          <w:trHeight w:val="84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bottom w:val="single" w:sz="4" w:space="0" w:color="FFFFFF" w:themeColor="background1"/>
            </w:tcBorders>
            <w:shd w:val="clear" w:color="auto" w:fill="153D63" w:themeFill="text2" w:themeFillTint="E6"/>
            <w:vAlign w:val="center"/>
          </w:tcPr>
          <w:p w14:paraId="34895CE6" w14:textId="333CC5F9"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La Cantuta</w:t>
            </w:r>
          </w:p>
        </w:tc>
        <w:tc>
          <w:tcPr>
            <w:tcW w:w="217" w:type="pct"/>
            <w:vAlign w:val="center"/>
          </w:tcPr>
          <w:p w14:paraId="14BDB933" w14:textId="75267F29"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D76A49B" w14:textId="707FB8D3"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5B95A84C" w14:textId="01F09622"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7664B38" w14:textId="23749B2D"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A60747E" w14:textId="66E7A9DF"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161D4BF" w14:textId="48770B6C"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512B8E75" w14:textId="402CC239"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F050E13" w14:textId="7ACD91CE"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4FF9B42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3980764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1045B020"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5C826F8D"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12FE4958" w14:textId="40995465" w:rsidR="005F0ACA" w:rsidRPr="00C148C4" w:rsidRDefault="00D73493"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405075A2" w14:textId="644D7B4D" w:rsidR="005F0ACA" w:rsidRPr="00C148C4" w:rsidRDefault="004C1E1D"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69BD985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989852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1BC5798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01D382B7" w14:textId="039F8C22" w:rsidR="005F0ACA" w:rsidRPr="00C148C4" w:rsidRDefault="00003771"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29" w:type="pct"/>
            <w:vAlign w:val="center"/>
          </w:tcPr>
          <w:p w14:paraId="2A4A5E1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r>
      <w:tr w:rsidR="007B0ED6" w:rsidRPr="00363B5C" w14:paraId="52F67D67" w14:textId="77777777" w:rsidTr="0036111D">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bottom w:val="single" w:sz="4" w:space="0" w:color="FFFFFF" w:themeColor="background1"/>
            </w:tcBorders>
            <w:shd w:val="clear" w:color="auto" w:fill="153D63" w:themeFill="text2" w:themeFillTint="E6"/>
            <w:vAlign w:val="center"/>
          </w:tcPr>
          <w:p w14:paraId="068AE63B" w14:textId="77777777" w:rsidR="005F0ACA" w:rsidRPr="00363B5C" w:rsidRDefault="005F0ACA" w:rsidP="00A75FCE">
            <w:pPr>
              <w:rPr>
                <w:rFonts w:ascii="PT Serif" w:hAnsi="PT Serif"/>
                <w:sz w:val="16"/>
                <w:szCs w:val="16"/>
              </w:rPr>
            </w:pPr>
            <w:r w:rsidRPr="00363B5C">
              <w:rPr>
                <w:rFonts w:ascii="PT Serif" w:hAnsi="PT Serif"/>
                <w:sz w:val="16"/>
                <w:szCs w:val="16"/>
              </w:rPr>
              <w:t xml:space="preserve">Anzualdo Castro </w:t>
            </w:r>
          </w:p>
        </w:tc>
        <w:tc>
          <w:tcPr>
            <w:tcW w:w="217" w:type="pct"/>
            <w:vAlign w:val="center"/>
          </w:tcPr>
          <w:p w14:paraId="19AF18D7" w14:textId="130BC2EB"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D58AB70" w14:textId="7A5BF844"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DB5D33E" w14:textId="7D0AF1B9"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375FB2B" w14:textId="13A8AA11"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0316E06" w14:textId="7E525154"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356A802" w14:textId="212F7226"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E7827AC" w14:textId="53B53AB5"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296CE3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1E731BC8"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40FD99DA"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5C042400"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5E5EBBE" w14:textId="29206DA1" w:rsidR="005F0ACA" w:rsidRPr="00C148C4" w:rsidRDefault="009A65C0"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0091A667" w14:textId="36BDC9B9"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6EA970B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557131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885796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39063D4" w14:textId="0BF20DF6"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755280F2"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7929C84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r>
      <w:tr w:rsidR="00166BDB" w:rsidRPr="00363B5C" w14:paraId="51501260" w14:textId="77777777" w:rsidTr="0036111D">
        <w:trPr>
          <w:trHeight w:val="86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tcBorders>
            <w:shd w:val="clear" w:color="auto" w:fill="153D63" w:themeFill="text2" w:themeFillTint="E6"/>
            <w:vAlign w:val="center"/>
          </w:tcPr>
          <w:p w14:paraId="5535B840"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Osorio Rivera y familiares</w:t>
            </w:r>
          </w:p>
        </w:tc>
        <w:tc>
          <w:tcPr>
            <w:tcW w:w="217" w:type="pct"/>
            <w:vAlign w:val="center"/>
          </w:tcPr>
          <w:p w14:paraId="08EA554E" w14:textId="3D8CA26F"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0D753F3" w14:textId="6320B9C3"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FBC571B" w14:textId="332899EA"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766B219" w14:textId="4542ED64"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39CB5CB2" w14:textId="568CEE95"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9AFFCFE"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7F897E6D" w14:textId="3D44639E"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58C419DA" w14:textId="73032E6B"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6209C9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5C23D88B"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66373339" w14:textId="7625C12C" w:rsidR="005F0ACA" w:rsidRPr="00C148C4" w:rsidRDefault="00DD19B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6EB4ECAB"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2DE84998" w14:textId="1E679E53"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435C0E3B"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D9AC83F"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600F86B"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1E47116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773E2C1"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23CED86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r>
      <w:tr w:rsidR="007B0ED6" w:rsidRPr="00363B5C" w14:paraId="78CA6330" w14:textId="77777777" w:rsidTr="00166BDB">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cBorders>
            <w:shd w:val="clear" w:color="auto" w:fill="153D63" w:themeFill="text2" w:themeFillTint="E6"/>
            <w:vAlign w:val="center"/>
          </w:tcPr>
          <w:p w14:paraId="07DDC080"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Comunidad Campesina de Santa Bárbara</w:t>
            </w:r>
          </w:p>
        </w:tc>
        <w:tc>
          <w:tcPr>
            <w:tcW w:w="217" w:type="pct"/>
            <w:vAlign w:val="center"/>
          </w:tcPr>
          <w:p w14:paraId="612E96E2" w14:textId="592DE6D4" w:rsidR="005F0ACA" w:rsidRPr="00C148C4" w:rsidRDefault="00686909" w:rsidP="005F0ACA">
            <w:pPr>
              <w:jc w:val="center"/>
              <w:cnfStyle w:val="000000100000" w:firstRow="0" w:lastRow="0" w:firstColumn="0" w:lastColumn="0" w:oddVBand="0" w:evenVBand="0" w:oddHBand="1" w:evenHBand="0" w:firstRowFirstColumn="0" w:firstRowLastColumn="0" w:lastRowFirstColumn="0" w:lastRowLastColumn="0"/>
              <w:rPr>
                <w:rFonts w:ascii="PT Serif" w:hAnsi="PT Serif" w:cs="Segoe UI Symbol"/>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535F58A2" w14:textId="504C837F"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BD81459" w14:textId="79D99F41"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B915778" w14:textId="462E6CBE"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1D59F31" w14:textId="1D10F5EC"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B48D35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43E1C2AC" w14:textId="43B7CB75"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6F60E2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688B08C6"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38DC7CC1"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7DAAD65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1DEEE7A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13AF113"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D3F5132"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011AEF91"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01653FA8"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447C96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107452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3EF5DA74" w14:textId="484D451B"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r>
      <w:tr w:rsidR="00166BDB" w:rsidRPr="00363B5C" w14:paraId="2EFC6B0F" w14:textId="77777777" w:rsidTr="00166BDB">
        <w:trPr>
          <w:trHeight w:val="102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bottom w:val="single" w:sz="4" w:space="0" w:color="FFFFFF" w:themeColor="background1"/>
            </w:tcBorders>
            <w:shd w:val="clear" w:color="auto" w:fill="153D63" w:themeFill="text2" w:themeFillTint="E6"/>
            <w:vAlign w:val="center"/>
          </w:tcPr>
          <w:p w14:paraId="074C1A7B"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Tenorio Roca y otros</w:t>
            </w:r>
          </w:p>
        </w:tc>
        <w:tc>
          <w:tcPr>
            <w:tcW w:w="217" w:type="pct"/>
            <w:vAlign w:val="center"/>
          </w:tcPr>
          <w:p w14:paraId="0DA0A5D9" w14:textId="71999302"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7071C0B" w14:textId="476CC665"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6CBC444" w14:textId="2309A1E8"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2351842" w14:textId="22F54472"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9F04E40" w14:textId="198644AE"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2F6E8E2"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1550F4B4" w14:textId="1441AECB"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5DC8659F" w14:textId="3FF3F82E"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BEF627F"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59A284E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4AD10840"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50366EE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53491365"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579D91E"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1E8B1C0F"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59C01BD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9F96113"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2F0DD871"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413525E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r>
      <w:tr w:rsidR="007B0ED6" w:rsidRPr="00363B5C" w14:paraId="2A089DAD" w14:textId="77777777" w:rsidTr="00166BDB">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bottom w:val="single" w:sz="4" w:space="0" w:color="FFFFFF" w:themeColor="background1"/>
            </w:tcBorders>
            <w:shd w:val="clear" w:color="auto" w:fill="153D63" w:themeFill="text2" w:themeFillTint="E6"/>
            <w:vAlign w:val="center"/>
          </w:tcPr>
          <w:p w14:paraId="24A3EB41"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Munárriz Escobar y otros</w:t>
            </w:r>
          </w:p>
        </w:tc>
        <w:tc>
          <w:tcPr>
            <w:tcW w:w="217" w:type="pct"/>
            <w:vAlign w:val="center"/>
          </w:tcPr>
          <w:p w14:paraId="3F84D70F" w14:textId="259FA348"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63B27FF" w14:textId="769266DA"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67A61C5" w14:textId="46FCDAEC"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00566E9" w14:textId="400523DA"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A49AFCC" w14:textId="6549A407"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7E9CC99" w14:textId="562FDE3C" w:rsidR="005F0ACA" w:rsidRPr="00C148C4" w:rsidRDefault="00FE4508"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6F5AD8DB" w14:textId="44454454" w:rsidR="005F0ACA" w:rsidRPr="00C148C4" w:rsidRDefault="00686909"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B3E2A25"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6AE38629"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359EBFF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0" w:type="pct"/>
            <w:vAlign w:val="center"/>
          </w:tcPr>
          <w:p w14:paraId="263838BC"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55E54662"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57C9FF62"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B572E03"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5A8D1A01"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22B8E5F"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0C01D5F0"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3D7922BE"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6B36A298" w14:textId="77777777" w:rsidR="005F0ACA" w:rsidRPr="00C148C4" w:rsidRDefault="005F0ACA" w:rsidP="00A75FCE">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r>
      <w:tr w:rsidR="00166BDB" w:rsidRPr="00363B5C" w14:paraId="48961E28" w14:textId="77777777" w:rsidTr="00166BDB">
        <w:trPr>
          <w:trHeight w:val="1028"/>
        </w:trPr>
        <w:tc>
          <w:tcPr>
            <w:cnfStyle w:val="001000000000" w:firstRow="0" w:lastRow="0" w:firstColumn="1" w:lastColumn="0" w:oddVBand="0" w:evenVBand="0" w:oddHBand="0" w:evenHBand="0" w:firstRowFirstColumn="0" w:firstRowLastColumn="0" w:lastRowFirstColumn="0" w:lastRowLastColumn="0"/>
            <w:tcW w:w="740" w:type="pct"/>
            <w:tcBorders>
              <w:top w:val="single" w:sz="4" w:space="0" w:color="FFFFFF" w:themeColor="background1"/>
            </w:tcBorders>
            <w:shd w:val="clear" w:color="auto" w:fill="153D63" w:themeFill="text2" w:themeFillTint="E6"/>
            <w:vAlign w:val="center"/>
          </w:tcPr>
          <w:p w14:paraId="2795C473" w14:textId="77777777" w:rsidR="005F0ACA" w:rsidRPr="00363B5C" w:rsidRDefault="005F0ACA" w:rsidP="00A75FCE">
            <w:pPr>
              <w:spacing w:after="160" w:line="278" w:lineRule="auto"/>
              <w:rPr>
                <w:rFonts w:ascii="PT Serif" w:hAnsi="PT Serif"/>
                <w:sz w:val="16"/>
                <w:szCs w:val="16"/>
              </w:rPr>
            </w:pPr>
            <w:r w:rsidRPr="00363B5C">
              <w:rPr>
                <w:rFonts w:ascii="PT Serif" w:hAnsi="PT Serif"/>
                <w:sz w:val="16"/>
                <w:szCs w:val="16"/>
              </w:rPr>
              <w:t>Terrones Silva</w:t>
            </w:r>
          </w:p>
        </w:tc>
        <w:tc>
          <w:tcPr>
            <w:tcW w:w="217" w:type="pct"/>
            <w:vAlign w:val="center"/>
          </w:tcPr>
          <w:p w14:paraId="379E3802" w14:textId="1467A2CE"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BD78276" w14:textId="0A698BF3"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5B4CBA0" w14:textId="04ABA50A"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3F47C0A" w14:textId="4927B475"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54746F9" w14:textId="171707E4"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4A7AB944"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61223473" w14:textId="3385E91F"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78431C4E"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41A1D831"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0" w:type="pct"/>
            <w:vAlign w:val="center"/>
          </w:tcPr>
          <w:p w14:paraId="78EFB361" w14:textId="58A4FE51"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0" w:type="pct"/>
            <w:vAlign w:val="center"/>
          </w:tcPr>
          <w:p w14:paraId="1EC17971"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1" w:type="pct"/>
            <w:vAlign w:val="center"/>
          </w:tcPr>
          <w:p w14:paraId="7F5C986C"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1E50662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0D6C27B6" w14:textId="6E060863" w:rsidR="005F0ACA" w:rsidRPr="00C148C4" w:rsidRDefault="00686909"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093C2B6A"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645A411F"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31" w:type="pct"/>
            <w:vAlign w:val="center"/>
          </w:tcPr>
          <w:p w14:paraId="75812444" w14:textId="0AB9D190" w:rsidR="005F0ACA" w:rsidRPr="00C148C4" w:rsidRDefault="00003771"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1" w:type="pct"/>
            <w:vAlign w:val="center"/>
          </w:tcPr>
          <w:p w14:paraId="76593505" w14:textId="29C44A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29" w:type="pct"/>
            <w:vAlign w:val="center"/>
          </w:tcPr>
          <w:p w14:paraId="5753E572" w14:textId="77777777" w:rsidR="005F0ACA" w:rsidRPr="00C148C4" w:rsidRDefault="005F0ACA" w:rsidP="00A75FCE">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r>
    </w:tbl>
    <w:bookmarkEnd w:id="6"/>
    <w:p w14:paraId="669EEB1A" w14:textId="2AA7794B" w:rsidR="00363B5C" w:rsidRPr="00363B5C" w:rsidRDefault="005F0ACA" w:rsidP="005F0ACA">
      <w:pPr>
        <w:spacing w:line="240" w:lineRule="auto"/>
        <w:jc w:val="both"/>
        <w:rPr>
          <w:rFonts w:ascii="PT Serif" w:hAnsi="PT Serif" w:cs="Times New Roman"/>
        </w:rPr>
      </w:pPr>
      <w:r w:rsidRPr="007B0ED6">
        <w:rPr>
          <w:rFonts w:ascii="PT Serif" w:hAnsi="PT Serif" w:cs="Times New Roman"/>
          <w:i/>
          <w:iCs/>
        </w:rPr>
        <w:t xml:space="preserve">Nota. </w:t>
      </w:r>
      <w:r w:rsidRPr="007B0ED6">
        <w:rPr>
          <w:rFonts w:ascii="PT Serif" w:hAnsi="PT Serif" w:cs="Times New Roman"/>
        </w:rPr>
        <w:t xml:space="preserve">Los números de cada columna representan las medidas reparatorias específicas que se enlistaron en el párrafo anterior. La </w:t>
      </w:r>
      <w:r w:rsidR="00C148C4" w:rsidRPr="007B0ED6">
        <w:rPr>
          <w:rFonts w:ascii="PT Serif" w:hAnsi="PT Serif" w:cs="Times New Roman"/>
        </w:rPr>
        <w:t>“</w:t>
      </w:r>
      <w:r w:rsidRPr="007B0ED6">
        <w:rPr>
          <w:rFonts w:ascii="Apple Color Emoji" w:hAnsi="Apple Color Emoji" w:cs="Apple Color Emoji"/>
        </w:rPr>
        <w:t>✔</w:t>
      </w:r>
      <w:r w:rsidR="00C148C4" w:rsidRPr="007B0ED6">
        <w:rPr>
          <w:rFonts w:ascii="PT Serif" w:hAnsi="PT Serif" w:cs="Apple Color Emoji"/>
        </w:rPr>
        <w:t>”</w:t>
      </w:r>
      <w:r w:rsidRPr="007B0ED6">
        <w:rPr>
          <w:rFonts w:ascii="PT Serif" w:hAnsi="PT Serif" w:cs="Segoe UI Symbol"/>
        </w:rPr>
        <w:t xml:space="preserve"> </w:t>
      </w:r>
      <w:r w:rsidRPr="007B0ED6">
        <w:rPr>
          <w:rFonts w:ascii="PT Serif" w:hAnsi="PT Serif" w:cs="Times New Roman"/>
        </w:rPr>
        <w:t xml:space="preserve">indica que la medida reparatoria ha sido satisfecha. La </w:t>
      </w:r>
      <w:r w:rsidR="00C148C4" w:rsidRPr="007B0ED6">
        <w:rPr>
          <w:rFonts w:ascii="PT Serif" w:hAnsi="PT Serif" w:cs="Times New Roman"/>
        </w:rPr>
        <w:t>“</w:t>
      </w:r>
      <w:r w:rsidR="00C30E5D" w:rsidRPr="007B0ED6">
        <w:rPr>
          <w:rFonts w:ascii="PT Serif" w:hAnsi="PT Serif" w:cs="Segoe UI Symbol"/>
          <w:color w:val="0E2841" w:themeColor="text2"/>
        </w:rPr>
        <w:t>X</w:t>
      </w:r>
      <w:r w:rsidR="00C148C4" w:rsidRPr="007B0ED6">
        <w:rPr>
          <w:rFonts w:ascii="PT Serif" w:hAnsi="PT Serif" w:cs="Times New Roman"/>
        </w:rPr>
        <w:t xml:space="preserve">” </w:t>
      </w:r>
      <w:r w:rsidRPr="007B0ED6">
        <w:rPr>
          <w:rFonts w:ascii="PT Serif" w:hAnsi="PT Serif" w:cs="Times New Roman"/>
        </w:rPr>
        <w:t xml:space="preserve">significa que la medida aún </w:t>
      </w:r>
      <w:r w:rsidR="00C30E5D" w:rsidRPr="007B0ED6">
        <w:rPr>
          <w:rFonts w:ascii="PT Serif" w:hAnsi="PT Serif" w:cs="Times New Roman"/>
        </w:rPr>
        <w:t xml:space="preserve">no </w:t>
      </w:r>
      <w:r w:rsidRPr="007B0ED6">
        <w:rPr>
          <w:rFonts w:ascii="PT Serif" w:hAnsi="PT Serif" w:cs="Times New Roman"/>
        </w:rPr>
        <w:t xml:space="preserve">ha sido cumplida </w:t>
      </w:r>
      <w:r w:rsidR="00612E84" w:rsidRPr="007B0ED6">
        <w:rPr>
          <w:rFonts w:ascii="PT Serif" w:hAnsi="PT Serif" w:cs="Times New Roman"/>
        </w:rPr>
        <w:t>o lo ha sido</w:t>
      </w:r>
      <w:r w:rsidR="00BF34FF" w:rsidRPr="007B0ED6">
        <w:rPr>
          <w:rFonts w:ascii="PT Serif" w:hAnsi="PT Serif" w:cs="Times New Roman"/>
        </w:rPr>
        <w:t xml:space="preserve"> </w:t>
      </w:r>
      <w:r w:rsidR="00612E84" w:rsidRPr="007B0ED6">
        <w:rPr>
          <w:rFonts w:ascii="PT Serif" w:hAnsi="PT Serif" w:cs="Times New Roman"/>
        </w:rPr>
        <w:t>parcialmente</w:t>
      </w:r>
      <w:r w:rsidRPr="007B0ED6">
        <w:rPr>
          <w:rFonts w:ascii="PT Serif" w:hAnsi="PT Serif" w:cs="Times New Roman"/>
        </w:rPr>
        <w:t xml:space="preserve">. </w:t>
      </w:r>
    </w:p>
    <w:p w14:paraId="3188CE15" w14:textId="6D2018FD" w:rsidR="00EF64E3" w:rsidRPr="000430DB" w:rsidRDefault="00C52DC9" w:rsidP="005B5B53">
      <w:pPr>
        <w:spacing w:line="360" w:lineRule="auto"/>
        <w:ind w:firstLine="720"/>
        <w:jc w:val="both"/>
        <w:rPr>
          <w:rFonts w:ascii="PT Serif" w:hAnsi="PT Serif" w:cs="Times New Roman"/>
          <w:sz w:val="24"/>
          <w:szCs w:val="24"/>
        </w:rPr>
      </w:pPr>
      <w:r w:rsidRPr="000430DB">
        <w:rPr>
          <w:rFonts w:ascii="PT Serif" w:hAnsi="PT Serif" w:cs="Times New Roman"/>
          <w:sz w:val="24"/>
          <w:szCs w:val="24"/>
        </w:rPr>
        <w:lastRenderedPageBreak/>
        <w:t>Sigamos ahora con el Estado mexicano</w:t>
      </w:r>
      <w:r w:rsidR="00065F37" w:rsidRPr="000430DB">
        <w:rPr>
          <w:rFonts w:ascii="PT Serif" w:hAnsi="PT Serif" w:cs="Times New Roman"/>
          <w:sz w:val="24"/>
          <w:szCs w:val="24"/>
        </w:rPr>
        <w:t xml:space="preserve">. Las medidas reparatorias halladas en sus sentencias condenatorias son las siguientes: 1. Pago de gastos y costas; 2. Pago del daño material; 3. Pago del daño moral; 4. </w:t>
      </w:r>
      <w:r w:rsidR="00AF0566">
        <w:rPr>
          <w:rFonts w:ascii="PT Serif" w:hAnsi="PT Serif" w:cs="Times New Roman"/>
          <w:sz w:val="24"/>
          <w:szCs w:val="24"/>
        </w:rPr>
        <w:t>Investigación y/o i</w:t>
      </w:r>
      <w:r w:rsidR="00AF0566" w:rsidRPr="000430DB">
        <w:rPr>
          <w:rFonts w:ascii="PT Serif" w:hAnsi="PT Serif" w:cs="Times New Roman"/>
          <w:sz w:val="24"/>
          <w:szCs w:val="24"/>
        </w:rPr>
        <w:t>dentificación y sanción de los responsables</w:t>
      </w:r>
      <w:r w:rsidR="00065F37" w:rsidRPr="000430DB">
        <w:rPr>
          <w:rFonts w:ascii="PT Serif" w:hAnsi="PT Serif" w:cs="Times New Roman"/>
          <w:sz w:val="24"/>
          <w:szCs w:val="24"/>
        </w:rPr>
        <w:t xml:space="preserve">; 5. </w:t>
      </w:r>
      <w:r w:rsidR="00AF0566">
        <w:rPr>
          <w:rFonts w:ascii="PT Serif" w:hAnsi="PT Serif" w:cs="Times New Roman"/>
          <w:sz w:val="24"/>
          <w:szCs w:val="24"/>
        </w:rPr>
        <w:t>Investigación y/o identificación</w:t>
      </w:r>
      <w:r w:rsidR="00AF0566" w:rsidRPr="000430DB">
        <w:rPr>
          <w:rFonts w:ascii="PT Serif" w:hAnsi="PT Serif" w:cs="Times New Roman"/>
          <w:sz w:val="24"/>
          <w:szCs w:val="24"/>
        </w:rPr>
        <w:t xml:space="preserve"> del paradero de las personas desaparecidas</w:t>
      </w:r>
      <w:r w:rsidR="00AF0566">
        <w:rPr>
          <w:rFonts w:ascii="PT Serif" w:hAnsi="PT Serif" w:cs="Times New Roman"/>
          <w:sz w:val="24"/>
          <w:szCs w:val="24"/>
        </w:rPr>
        <w:t xml:space="preserve"> o sus </w:t>
      </w:r>
      <w:r w:rsidR="00AF0566" w:rsidRPr="000430DB">
        <w:rPr>
          <w:rFonts w:ascii="PT Serif" w:hAnsi="PT Serif" w:cs="Times New Roman"/>
          <w:sz w:val="24"/>
          <w:szCs w:val="24"/>
        </w:rPr>
        <w:t xml:space="preserve">restos </w:t>
      </w:r>
      <w:r w:rsidR="00AF0566">
        <w:rPr>
          <w:rFonts w:ascii="PT Serif" w:hAnsi="PT Serif" w:cs="Times New Roman"/>
          <w:sz w:val="24"/>
          <w:szCs w:val="24"/>
        </w:rPr>
        <w:t>mortales</w:t>
      </w:r>
      <w:r w:rsidR="00065F37" w:rsidRPr="000430DB">
        <w:rPr>
          <w:rFonts w:ascii="PT Serif" w:hAnsi="PT Serif" w:cs="Times New Roman"/>
          <w:sz w:val="24"/>
          <w:szCs w:val="24"/>
        </w:rPr>
        <w:t>; 6. Reforma a la legislación interna; 7. Publicación de la sentencia, en sus respectivas modalidades; 8. Establecimiento de los límites a la jurisdicción penal e implementación de programas de formación sobre investigación y juzgamiento de</w:t>
      </w:r>
      <w:r w:rsidR="007C2CCC">
        <w:rPr>
          <w:rFonts w:ascii="PT Serif" w:hAnsi="PT Serif" w:cs="Times New Roman"/>
          <w:sz w:val="24"/>
          <w:szCs w:val="24"/>
        </w:rPr>
        <w:t xml:space="preserve"> la </w:t>
      </w:r>
      <w:r w:rsidR="00065F37" w:rsidRPr="000430DB">
        <w:rPr>
          <w:rFonts w:ascii="PT Serif" w:hAnsi="PT Serif" w:cs="Times New Roman"/>
          <w:sz w:val="24"/>
          <w:szCs w:val="24"/>
        </w:rPr>
        <w:t xml:space="preserve"> desaparición forzada</w:t>
      </w:r>
      <w:r w:rsidR="007C2CCC">
        <w:rPr>
          <w:rFonts w:ascii="PT Serif" w:hAnsi="PT Serif" w:cs="Times New Roman"/>
          <w:sz w:val="24"/>
          <w:szCs w:val="24"/>
        </w:rPr>
        <w:t>, y jurisprudencia de la CoIDH</w:t>
      </w:r>
      <w:r w:rsidR="00065F37" w:rsidRPr="000430DB">
        <w:rPr>
          <w:rFonts w:ascii="PT Serif" w:hAnsi="PT Serif" w:cs="Times New Roman"/>
          <w:sz w:val="24"/>
          <w:szCs w:val="24"/>
        </w:rPr>
        <w:t>; 9. Realización de un acto público de reconocimiento de responsabilidad internacional; 10. Realización de una semblanza de la víctima; 11. Prestación de atención médica, psicológic</w:t>
      </w:r>
      <w:r w:rsidR="001673CE">
        <w:rPr>
          <w:rFonts w:ascii="PT Serif" w:hAnsi="PT Serif" w:cs="Times New Roman"/>
          <w:sz w:val="24"/>
          <w:szCs w:val="24"/>
        </w:rPr>
        <w:t>a</w:t>
      </w:r>
      <w:r w:rsidR="00065F37" w:rsidRPr="000430DB">
        <w:rPr>
          <w:rFonts w:ascii="PT Serif" w:hAnsi="PT Serif" w:cs="Times New Roman"/>
          <w:sz w:val="24"/>
          <w:szCs w:val="24"/>
        </w:rPr>
        <w:t xml:space="preserve"> y/o psiquiátrica; 12. Otorgamiento de apoyos educativos a las víctimas; 13. Denominar una sala de una Facultad universitaria en favor de la víctima; 14. Creación de un registro único y actualizado de personas desaparecidas</w:t>
      </w:r>
      <w:r w:rsidR="003B573D" w:rsidRPr="000430DB">
        <w:rPr>
          <w:rFonts w:ascii="PT Serif" w:hAnsi="PT Serif" w:cs="Times New Roman"/>
          <w:sz w:val="24"/>
          <w:szCs w:val="24"/>
        </w:rPr>
        <w:t>;</w:t>
      </w:r>
      <w:r w:rsidR="00065F37" w:rsidRPr="000430DB">
        <w:rPr>
          <w:rFonts w:ascii="PT Serif" w:hAnsi="PT Serif" w:cs="Times New Roman"/>
          <w:sz w:val="24"/>
          <w:szCs w:val="24"/>
        </w:rPr>
        <w:t xml:space="preserve"> 15. </w:t>
      </w:r>
      <w:r w:rsidR="00502429">
        <w:rPr>
          <w:rFonts w:ascii="PT Serif" w:hAnsi="PT Serif" w:cs="Times New Roman"/>
          <w:sz w:val="24"/>
          <w:szCs w:val="24"/>
        </w:rPr>
        <w:t xml:space="preserve">Pago de gastos por </w:t>
      </w:r>
      <w:r w:rsidR="0066206B">
        <w:rPr>
          <w:rFonts w:ascii="PT Serif" w:hAnsi="PT Serif" w:cs="Times New Roman"/>
          <w:sz w:val="24"/>
          <w:szCs w:val="24"/>
        </w:rPr>
        <w:t>atención psicológic</w:t>
      </w:r>
      <w:r w:rsidR="00CD3D6B">
        <w:rPr>
          <w:rFonts w:ascii="PT Serif" w:hAnsi="PT Serif" w:cs="Times New Roman"/>
          <w:sz w:val="24"/>
          <w:szCs w:val="24"/>
        </w:rPr>
        <w:t xml:space="preserve">a </w:t>
      </w:r>
      <w:r w:rsidR="0066206B">
        <w:rPr>
          <w:rFonts w:ascii="PT Serif" w:hAnsi="PT Serif" w:cs="Times New Roman"/>
          <w:sz w:val="24"/>
          <w:szCs w:val="24"/>
        </w:rPr>
        <w:t>y psiquiátrica</w:t>
      </w:r>
      <w:r w:rsidR="003B573D" w:rsidRPr="000430DB">
        <w:rPr>
          <w:rFonts w:ascii="PT Serif" w:hAnsi="PT Serif" w:cs="Times New Roman"/>
          <w:sz w:val="24"/>
          <w:szCs w:val="24"/>
        </w:rPr>
        <w:t>; 16. Reintegración al Fondo de Asistencia Legal de Víctimas de la CoIDH</w:t>
      </w:r>
      <w:r w:rsidR="00B1287C">
        <w:rPr>
          <w:rFonts w:ascii="PT Serif" w:hAnsi="PT Serif" w:cs="Times New Roman"/>
          <w:sz w:val="24"/>
          <w:szCs w:val="24"/>
        </w:rPr>
        <w:t>; 17. Inclusión de programas destinados a reparar el proyecto de vida de las víctimas; 18. Medidas para proteger la vida y la integridad a la luz de diagnósticos</w:t>
      </w:r>
      <w:r w:rsidR="00AB76A4">
        <w:rPr>
          <w:rFonts w:ascii="PT Serif" w:hAnsi="PT Serif" w:cs="Times New Roman"/>
          <w:sz w:val="24"/>
          <w:szCs w:val="24"/>
        </w:rPr>
        <w:t xml:space="preserve"> de riesgos</w:t>
      </w:r>
      <w:r w:rsidR="00F81378">
        <w:rPr>
          <w:rFonts w:ascii="PT Serif" w:hAnsi="PT Serif" w:cs="Times New Roman"/>
          <w:sz w:val="24"/>
          <w:szCs w:val="24"/>
        </w:rPr>
        <w:t xml:space="preserve">; y 19. Brindar garantías de retorno o reubicación de víctimas. </w:t>
      </w:r>
    </w:p>
    <w:p w14:paraId="20A65C53" w14:textId="4BE3C5F7" w:rsidR="005B5B53" w:rsidRDefault="000E2144" w:rsidP="005B5B53">
      <w:pPr>
        <w:spacing w:line="360" w:lineRule="auto"/>
        <w:ind w:firstLine="720"/>
        <w:jc w:val="both"/>
        <w:rPr>
          <w:rFonts w:ascii="PT Serif" w:hAnsi="PT Serif" w:cs="Times New Roman"/>
          <w:sz w:val="24"/>
          <w:szCs w:val="24"/>
        </w:rPr>
      </w:pPr>
      <w:r>
        <w:rPr>
          <w:rFonts w:ascii="PT Serif" w:hAnsi="PT Serif" w:cs="Times New Roman"/>
          <w:sz w:val="24"/>
          <w:szCs w:val="24"/>
        </w:rPr>
        <w:t>Bajo la misma dinámica atendida en el caso de Perú, a</w:t>
      </w:r>
      <w:r w:rsidR="007B6735" w:rsidRPr="000430DB">
        <w:rPr>
          <w:rFonts w:ascii="PT Serif" w:hAnsi="PT Serif" w:cs="Times New Roman"/>
          <w:sz w:val="24"/>
          <w:szCs w:val="24"/>
        </w:rPr>
        <w:t>tendamos</w:t>
      </w:r>
      <w:r w:rsidR="001673CE">
        <w:rPr>
          <w:rFonts w:ascii="PT Serif" w:hAnsi="PT Serif" w:cs="Times New Roman"/>
          <w:sz w:val="24"/>
          <w:szCs w:val="24"/>
        </w:rPr>
        <w:t xml:space="preserve"> ahora</w:t>
      </w:r>
      <w:r w:rsidR="00622506" w:rsidRPr="000430DB">
        <w:rPr>
          <w:rFonts w:ascii="PT Serif" w:hAnsi="PT Serif" w:cs="Times New Roman"/>
          <w:sz w:val="24"/>
          <w:szCs w:val="24"/>
        </w:rPr>
        <w:t xml:space="preserve"> la siguiente tabla</w:t>
      </w:r>
      <w:r>
        <w:rPr>
          <w:rFonts w:ascii="PT Serif" w:hAnsi="PT Serif" w:cs="Times New Roman"/>
          <w:sz w:val="24"/>
          <w:szCs w:val="24"/>
        </w:rPr>
        <w:t xml:space="preserve"> respecto a México</w:t>
      </w:r>
      <w:r w:rsidR="00622506" w:rsidRPr="000430DB">
        <w:rPr>
          <w:rFonts w:ascii="PT Serif" w:hAnsi="PT Serif" w:cs="Times New Roman"/>
          <w:sz w:val="24"/>
          <w:szCs w:val="24"/>
        </w:rPr>
        <w:t xml:space="preserve">: </w:t>
      </w:r>
    </w:p>
    <w:p w14:paraId="1C9DF574" w14:textId="77777777" w:rsidR="005B5B53" w:rsidRDefault="005B5B53" w:rsidP="005B5B53">
      <w:pPr>
        <w:spacing w:line="360" w:lineRule="auto"/>
        <w:ind w:firstLine="720"/>
        <w:jc w:val="both"/>
        <w:rPr>
          <w:rFonts w:ascii="PT Serif" w:hAnsi="PT Serif" w:cs="Times New Roman"/>
          <w:sz w:val="24"/>
          <w:szCs w:val="24"/>
        </w:rPr>
      </w:pPr>
    </w:p>
    <w:p w14:paraId="4F0AA691" w14:textId="77777777" w:rsidR="005B5B53" w:rsidRDefault="005B5B53" w:rsidP="005B5B53">
      <w:pPr>
        <w:spacing w:line="360" w:lineRule="auto"/>
        <w:ind w:firstLine="720"/>
        <w:jc w:val="both"/>
        <w:rPr>
          <w:rFonts w:ascii="PT Serif" w:hAnsi="PT Serif" w:cs="Times New Roman"/>
          <w:sz w:val="24"/>
          <w:szCs w:val="24"/>
        </w:rPr>
      </w:pPr>
    </w:p>
    <w:p w14:paraId="60479FF7" w14:textId="77777777" w:rsidR="005B5B53" w:rsidRDefault="005B5B53" w:rsidP="005B5B53">
      <w:pPr>
        <w:spacing w:line="360" w:lineRule="auto"/>
        <w:ind w:firstLine="720"/>
        <w:jc w:val="both"/>
        <w:rPr>
          <w:rFonts w:ascii="PT Serif" w:hAnsi="PT Serif" w:cs="Times New Roman"/>
          <w:sz w:val="24"/>
          <w:szCs w:val="24"/>
        </w:rPr>
      </w:pPr>
    </w:p>
    <w:p w14:paraId="00786701" w14:textId="77777777" w:rsidR="005B5B53" w:rsidRDefault="005B5B53" w:rsidP="005B5B53">
      <w:pPr>
        <w:spacing w:line="360" w:lineRule="auto"/>
        <w:ind w:firstLine="720"/>
        <w:jc w:val="both"/>
        <w:rPr>
          <w:rFonts w:ascii="PT Serif" w:hAnsi="PT Serif" w:cs="Times New Roman"/>
          <w:sz w:val="24"/>
          <w:szCs w:val="24"/>
        </w:rPr>
      </w:pPr>
    </w:p>
    <w:p w14:paraId="70CA52FC" w14:textId="77777777" w:rsidR="005B5B53" w:rsidRDefault="005B5B53" w:rsidP="005B5B53">
      <w:pPr>
        <w:spacing w:line="360" w:lineRule="auto"/>
        <w:ind w:firstLine="720"/>
        <w:jc w:val="both"/>
        <w:rPr>
          <w:rFonts w:ascii="PT Serif" w:hAnsi="PT Serif" w:cs="Times New Roman"/>
          <w:sz w:val="24"/>
          <w:szCs w:val="24"/>
        </w:rPr>
      </w:pPr>
    </w:p>
    <w:p w14:paraId="5910F122" w14:textId="3502267B" w:rsidR="00C148C4" w:rsidRPr="00C148C4" w:rsidRDefault="00C148C4" w:rsidP="00C148C4">
      <w:pPr>
        <w:spacing w:line="360" w:lineRule="auto"/>
        <w:jc w:val="both"/>
        <w:rPr>
          <w:rFonts w:ascii="PT Serif" w:hAnsi="PT Serif" w:cs="Times New Roman"/>
          <w:b/>
          <w:bCs/>
        </w:rPr>
      </w:pPr>
      <w:r w:rsidRPr="00C148C4">
        <w:rPr>
          <w:rFonts w:ascii="PT Serif" w:hAnsi="PT Serif" w:cs="Times New Roman"/>
          <w:b/>
          <w:bCs/>
        </w:rPr>
        <w:lastRenderedPageBreak/>
        <w:t xml:space="preserve">Tabla 2 </w:t>
      </w:r>
    </w:p>
    <w:p w14:paraId="7BF12AC1" w14:textId="4F891C71" w:rsidR="00622506" w:rsidRPr="00C148C4" w:rsidRDefault="00622506" w:rsidP="00093E65">
      <w:pPr>
        <w:spacing w:line="360" w:lineRule="auto"/>
        <w:jc w:val="both"/>
        <w:rPr>
          <w:rFonts w:ascii="PT Serif" w:hAnsi="PT Serif" w:cs="Times New Roman"/>
        </w:rPr>
      </w:pPr>
      <w:r w:rsidRPr="00C148C4">
        <w:rPr>
          <w:rFonts w:ascii="PT Serif" w:hAnsi="PT Serif" w:cs="Times New Roman"/>
          <w:i/>
          <w:iCs/>
        </w:rPr>
        <w:t>Cumplimiento de medidas reparatorias en casos de Desaparición Forzada en</w:t>
      </w:r>
      <w:r w:rsidR="006D08EE" w:rsidRPr="00C148C4">
        <w:rPr>
          <w:rFonts w:ascii="PT Serif" w:hAnsi="PT Serif" w:cs="Times New Roman"/>
          <w:i/>
          <w:iCs/>
        </w:rPr>
        <w:t xml:space="preserve"> México</w:t>
      </w:r>
    </w:p>
    <w:tbl>
      <w:tblPr>
        <w:tblStyle w:val="Tablanormal4"/>
        <w:tblW w:w="5000" w:type="pct"/>
        <w:tblLook w:val="04A0" w:firstRow="1" w:lastRow="0" w:firstColumn="1" w:lastColumn="0" w:noHBand="0" w:noVBand="1"/>
      </w:tblPr>
      <w:tblGrid>
        <w:gridCol w:w="1267"/>
        <w:gridCol w:w="396"/>
        <w:gridCol w:w="396"/>
        <w:gridCol w:w="394"/>
        <w:gridCol w:w="346"/>
        <w:gridCol w:w="346"/>
        <w:gridCol w:w="346"/>
        <w:gridCol w:w="394"/>
        <w:gridCol w:w="394"/>
        <w:gridCol w:w="394"/>
        <w:gridCol w:w="423"/>
        <w:gridCol w:w="446"/>
        <w:gridCol w:w="446"/>
        <w:gridCol w:w="446"/>
        <w:gridCol w:w="446"/>
        <w:gridCol w:w="446"/>
        <w:gridCol w:w="446"/>
        <w:gridCol w:w="446"/>
        <w:gridCol w:w="446"/>
        <w:gridCol w:w="406"/>
      </w:tblGrid>
      <w:tr w:rsidR="00490670" w:rsidRPr="00C148C4" w14:paraId="46C87D6B" w14:textId="1B54C179" w:rsidTr="0036111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8" w:type="pct"/>
            <w:tcBorders>
              <w:top w:val="single" w:sz="4" w:space="0" w:color="auto"/>
              <w:bottom w:val="single" w:sz="4" w:space="0" w:color="FFFFFF"/>
            </w:tcBorders>
            <w:shd w:val="clear" w:color="auto" w:fill="153D63" w:themeFill="text2" w:themeFillTint="E6"/>
            <w:vAlign w:val="center"/>
          </w:tcPr>
          <w:p w14:paraId="272E94AC" w14:textId="77777777" w:rsidR="00F81378" w:rsidRPr="00C148C4" w:rsidRDefault="00F81378" w:rsidP="003B573D">
            <w:pPr>
              <w:spacing w:after="160" w:line="278" w:lineRule="auto"/>
              <w:jc w:val="center"/>
              <w:rPr>
                <w:rFonts w:ascii="PT Serif" w:hAnsi="PT Serif"/>
                <w:sz w:val="16"/>
                <w:szCs w:val="16"/>
              </w:rPr>
            </w:pPr>
            <w:bookmarkStart w:id="7" w:name="_Hlk190164061"/>
            <w:r w:rsidRPr="00C148C4">
              <w:rPr>
                <w:rFonts w:ascii="PT Serif" w:hAnsi="PT Serif"/>
                <w:sz w:val="16"/>
                <w:szCs w:val="16"/>
              </w:rPr>
              <w:t>Sentencia</w:t>
            </w:r>
          </w:p>
        </w:tc>
        <w:tc>
          <w:tcPr>
            <w:tcW w:w="218" w:type="pct"/>
            <w:tcBorders>
              <w:top w:val="single" w:sz="4" w:space="0" w:color="auto"/>
              <w:bottom w:val="single" w:sz="4" w:space="0" w:color="auto"/>
            </w:tcBorders>
            <w:shd w:val="clear" w:color="auto" w:fill="153D63" w:themeFill="text2" w:themeFillTint="E6"/>
            <w:vAlign w:val="center"/>
          </w:tcPr>
          <w:p w14:paraId="410A6393"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w:t>
            </w:r>
          </w:p>
        </w:tc>
        <w:tc>
          <w:tcPr>
            <w:tcW w:w="218" w:type="pct"/>
            <w:tcBorders>
              <w:top w:val="single" w:sz="4" w:space="0" w:color="auto"/>
              <w:bottom w:val="single" w:sz="4" w:space="0" w:color="auto"/>
            </w:tcBorders>
            <w:shd w:val="clear" w:color="auto" w:fill="153D63" w:themeFill="text2" w:themeFillTint="E6"/>
            <w:vAlign w:val="center"/>
          </w:tcPr>
          <w:p w14:paraId="469AD71E"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2</w:t>
            </w:r>
          </w:p>
        </w:tc>
        <w:tc>
          <w:tcPr>
            <w:tcW w:w="217" w:type="pct"/>
            <w:tcBorders>
              <w:top w:val="single" w:sz="4" w:space="0" w:color="auto"/>
              <w:bottom w:val="single" w:sz="4" w:space="0" w:color="auto"/>
            </w:tcBorders>
            <w:shd w:val="clear" w:color="auto" w:fill="153D63" w:themeFill="text2" w:themeFillTint="E6"/>
            <w:vAlign w:val="center"/>
          </w:tcPr>
          <w:p w14:paraId="3D3B7623"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3</w:t>
            </w:r>
          </w:p>
        </w:tc>
        <w:tc>
          <w:tcPr>
            <w:tcW w:w="191" w:type="pct"/>
            <w:tcBorders>
              <w:top w:val="single" w:sz="4" w:space="0" w:color="auto"/>
              <w:bottom w:val="single" w:sz="4" w:space="0" w:color="auto"/>
            </w:tcBorders>
            <w:shd w:val="clear" w:color="auto" w:fill="153D63" w:themeFill="text2" w:themeFillTint="E6"/>
            <w:vAlign w:val="center"/>
          </w:tcPr>
          <w:p w14:paraId="2D2FE732"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4</w:t>
            </w:r>
          </w:p>
        </w:tc>
        <w:tc>
          <w:tcPr>
            <w:tcW w:w="191" w:type="pct"/>
            <w:tcBorders>
              <w:top w:val="single" w:sz="4" w:space="0" w:color="auto"/>
              <w:bottom w:val="single" w:sz="4" w:space="0" w:color="auto"/>
            </w:tcBorders>
            <w:shd w:val="clear" w:color="auto" w:fill="153D63" w:themeFill="text2" w:themeFillTint="E6"/>
            <w:vAlign w:val="center"/>
          </w:tcPr>
          <w:p w14:paraId="21C531C6"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5</w:t>
            </w:r>
          </w:p>
        </w:tc>
        <w:tc>
          <w:tcPr>
            <w:tcW w:w="191" w:type="pct"/>
            <w:tcBorders>
              <w:top w:val="single" w:sz="4" w:space="0" w:color="auto"/>
              <w:bottom w:val="single" w:sz="4" w:space="0" w:color="auto"/>
            </w:tcBorders>
            <w:shd w:val="clear" w:color="auto" w:fill="153D63" w:themeFill="text2" w:themeFillTint="E6"/>
            <w:vAlign w:val="center"/>
          </w:tcPr>
          <w:p w14:paraId="25132CC8"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6</w:t>
            </w:r>
          </w:p>
        </w:tc>
        <w:tc>
          <w:tcPr>
            <w:tcW w:w="217" w:type="pct"/>
            <w:tcBorders>
              <w:top w:val="single" w:sz="4" w:space="0" w:color="auto"/>
              <w:bottom w:val="single" w:sz="4" w:space="0" w:color="auto"/>
            </w:tcBorders>
            <w:shd w:val="clear" w:color="auto" w:fill="153D63" w:themeFill="text2" w:themeFillTint="E6"/>
            <w:vAlign w:val="center"/>
          </w:tcPr>
          <w:p w14:paraId="6BA9C2CE"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7</w:t>
            </w:r>
          </w:p>
        </w:tc>
        <w:tc>
          <w:tcPr>
            <w:tcW w:w="217" w:type="pct"/>
            <w:tcBorders>
              <w:top w:val="single" w:sz="4" w:space="0" w:color="auto"/>
              <w:bottom w:val="single" w:sz="4" w:space="0" w:color="auto"/>
            </w:tcBorders>
            <w:shd w:val="clear" w:color="auto" w:fill="153D63" w:themeFill="text2" w:themeFillTint="E6"/>
            <w:vAlign w:val="center"/>
          </w:tcPr>
          <w:p w14:paraId="6AA343FB"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8</w:t>
            </w:r>
          </w:p>
        </w:tc>
        <w:tc>
          <w:tcPr>
            <w:tcW w:w="217" w:type="pct"/>
            <w:tcBorders>
              <w:top w:val="single" w:sz="4" w:space="0" w:color="auto"/>
              <w:bottom w:val="single" w:sz="4" w:space="0" w:color="auto"/>
            </w:tcBorders>
            <w:shd w:val="clear" w:color="auto" w:fill="153D63" w:themeFill="text2" w:themeFillTint="E6"/>
            <w:vAlign w:val="center"/>
          </w:tcPr>
          <w:p w14:paraId="1473EACC"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9</w:t>
            </w:r>
          </w:p>
        </w:tc>
        <w:tc>
          <w:tcPr>
            <w:tcW w:w="233" w:type="pct"/>
            <w:tcBorders>
              <w:top w:val="single" w:sz="4" w:space="0" w:color="auto"/>
              <w:bottom w:val="single" w:sz="4" w:space="0" w:color="auto"/>
            </w:tcBorders>
            <w:shd w:val="clear" w:color="auto" w:fill="153D63" w:themeFill="text2" w:themeFillTint="E6"/>
            <w:vAlign w:val="center"/>
          </w:tcPr>
          <w:p w14:paraId="3E035C31"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10</w:t>
            </w:r>
          </w:p>
        </w:tc>
        <w:tc>
          <w:tcPr>
            <w:tcW w:w="246" w:type="pct"/>
            <w:tcBorders>
              <w:top w:val="single" w:sz="4" w:space="0" w:color="auto"/>
              <w:bottom w:val="single" w:sz="4" w:space="0" w:color="auto"/>
            </w:tcBorders>
            <w:shd w:val="clear" w:color="auto" w:fill="153D63" w:themeFill="text2" w:themeFillTint="E6"/>
            <w:vAlign w:val="center"/>
          </w:tcPr>
          <w:p w14:paraId="21F4939A"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11</w:t>
            </w:r>
          </w:p>
        </w:tc>
        <w:tc>
          <w:tcPr>
            <w:tcW w:w="246" w:type="pct"/>
            <w:tcBorders>
              <w:top w:val="single" w:sz="4" w:space="0" w:color="auto"/>
              <w:bottom w:val="single" w:sz="4" w:space="0" w:color="auto"/>
            </w:tcBorders>
            <w:shd w:val="clear" w:color="auto" w:fill="153D63" w:themeFill="text2" w:themeFillTint="E6"/>
            <w:vAlign w:val="center"/>
          </w:tcPr>
          <w:p w14:paraId="3ECF3F94"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12</w:t>
            </w:r>
          </w:p>
        </w:tc>
        <w:tc>
          <w:tcPr>
            <w:tcW w:w="246" w:type="pct"/>
            <w:tcBorders>
              <w:top w:val="single" w:sz="4" w:space="0" w:color="auto"/>
              <w:bottom w:val="single" w:sz="4" w:space="0" w:color="auto"/>
            </w:tcBorders>
            <w:shd w:val="clear" w:color="auto" w:fill="153D63" w:themeFill="text2" w:themeFillTint="E6"/>
            <w:vAlign w:val="center"/>
          </w:tcPr>
          <w:p w14:paraId="2FC6F94B"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13</w:t>
            </w:r>
          </w:p>
        </w:tc>
        <w:tc>
          <w:tcPr>
            <w:tcW w:w="246" w:type="pct"/>
            <w:tcBorders>
              <w:top w:val="single" w:sz="4" w:space="0" w:color="auto"/>
              <w:bottom w:val="single" w:sz="4" w:space="0" w:color="auto"/>
            </w:tcBorders>
            <w:shd w:val="clear" w:color="auto" w:fill="153D63" w:themeFill="text2" w:themeFillTint="E6"/>
            <w:vAlign w:val="center"/>
          </w:tcPr>
          <w:p w14:paraId="7F5674A1"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14</w:t>
            </w:r>
          </w:p>
        </w:tc>
        <w:tc>
          <w:tcPr>
            <w:tcW w:w="246" w:type="pct"/>
            <w:tcBorders>
              <w:top w:val="single" w:sz="4" w:space="0" w:color="auto"/>
              <w:bottom w:val="single" w:sz="4" w:space="0" w:color="auto"/>
            </w:tcBorders>
            <w:shd w:val="clear" w:color="auto" w:fill="153D63" w:themeFill="text2" w:themeFillTint="E6"/>
            <w:vAlign w:val="center"/>
          </w:tcPr>
          <w:p w14:paraId="32C54225" w14:textId="77777777"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15</w:t>
            </w:r>
          </w:p>
        </w:tc>
        <w:tc>
          <w:tcPr>
            <w:tcW w:w="246" w:type="pct"/>
            <w:tcBorders>
              <w:top w:val="single" w:sz="4" w:space="0" w:color="auto"/>
              <w:bottom w:val="single" w:sz="4" w:space="0" w:color="auto"/>
            </w:tcBorders>
            <w:shd w:val="clear" w:color="auto" w:fill="153D63" w:themeFill="text2" w:themeFillTint="E6"/>
            <w:vAlign w:val="center"/>
          </w:tcPr>
          <w:p w14:paraId="2CD35231" w14:textId="0CBE75AD" w:rsidR="00F81378" w:rsidRPr="00C148C4" w:rsidRDefault="00F81378" w:rsidP="003B573D">
            <w:pPr>
              <w:jc w:val="center"/>
              <w:cnfStyle w:val="100000000000" w:firstRow="1" w:lastRow="0" w:firstColumn="0" w:lastColumn="0" w:oddVBand="0" w:evenVBand="0" w:oddHBand="0" w:evenHBand="0" w:firstRowFirstColumn="0" w:firstRowLastColumn="0" w:lastRowFirstColumn="0" w:lastRowLastColumn="0"/>
              <w:rPr>
                <w:rFonts w:ascii="PT Serif" w:hAnsi="PT Serif"/>
                <w:sz w:val="16"/>
                <w:szCs w:val="16"/>
              </w:rPr>
            </w:pPr>
            <w:r w:rsidRPr="00C148C4">
              <w:rPr>
                <w:rFonts w:ascii="PT Serif" w:hAnsi="PT Serif"/>
                <w:b w:val="0"/>
                <w:bCs w:val="0"/>
                <w:sz w:val="16"/>
                <w:szCs w:val="16"/>
              </w:rPr>
              <w:t>16</w:t>
            </w:r>
          </w:p>
        </w:tc>
        <w:tc>
          <w:tcPr>
            <w:tcW w:w="246" w:type="pct"/>
            <w:tcBorders>
              <w:top w:val="single" w:sz="4" w:space="0" w:color="auto"/>
              <w:bottom w:val="single" w:sz="4" w:space="0" w:color="auto"/>
            </w:tcBorders>
            <w:shd w:val="clear" w:color="auto" w:fill="153D63" w:themeFill="text2" w:themeFillTint="E6"/>
            <w:vAlign w:val="center"/>
          </w:tcPr>
          <w:p w14:paraId="33F3781B" w14:textId="53D6D30B" w:rsidR="00F81378" w:rsidRPr="00C148C4" w:rsidRDefault="00F81378" w:rsidP="00B1287C">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17</w:t>
            </w:r>
          </w:p>
        </w:tc>
        <w:tc>
          <w:tcPr>
            <w:tcW w:w="246" w:type="pct"/>
            <w:tcBorders>
              <w:top w:val="single" w:sz="4" w:space="0" w:color="auto"/>
              <w:bottom w:val="single" w:sz="4" w:space="0" w:color="auto"/>
            </w:tcBorders>
            <w:shd w:val="clear" w:color="auto" w:fill="153D63" w:themeFill="text2" w:themeFillTint="E6"/>
            <w:vAlign w:val="center"/>
          </w:tcPr>
          <w:p w14:paraId="29A37995" w14:textId="0F05B8D0" w:rsidR="00F81378" w:rsidRPr="00C148C4" w:rsidRDefault="00F81378" w:rsidP="00B1287C">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18</w:t>
            </w:r>
          </w:p>
        </w:tc>
        <w:tc>
          <w:tcPr>
            <w:tcW w:w="224" w:type="pct"/>
            <w:tcBorders>
              <w:top w:val="single" w:sz="4" w:space="0" w:color="auto"/>
              <w:bottom w:val="single" w:sz="4" w:space="0" w:color="auto"/>
            </w:tcBorders>
            <w:shd w:val="clear" w:color="auto" w:fill="153D63" w:themeFill="text2" w:themeFillTint="E6"/>
            <w:vAlign w:val="center"/>
          </w:tcPr>
          <w:p w14:paraId="1D8EF7C1" w14:textId="067A22F3" w:rsidR="00F81378" w:rsidRPr="00C148C4" w:rsidRDefault="00FB1D4A" w:rsidP="00F81378">
            <w:pPr>
              <w:jc w:val="center"/>
              <w:cnfStyle w:val="100000000000" w:firstRow="1" w:lastRow="0" w:firstColumn="0" w:lastColumn="0" w:oddVBand="0" w:evenVBand="0" w:oddHBand="0" w:evenHBand="0" w:firstRowFirstColumn="0" w:firstRowLastColumn="0" w:lastRowFirstColumn="0" w:lastRowLastColumn="0"/>
              <w:rPr>
                <w:rFonts w:ascii="PT Serif" w:hAnsi="PT Serif"/>
                <w:b w:val="0"/>
                <w:bCs w:val="0"/>
                <w:sz w:val="16"/>
                <w:szCs w:val="16"/>
              </w:rPr>
            </w:pPr>
            <w:r w:rsidRPr="00C148C4">
              <w:rPr>
                <w:rFonts w:ascii="PT Serif" w:hAnsi="PT Serif"/>
                <w:b w:val="0"/>
                <w:bCs w:val="0"/>
                <w:sz w:val="16"/>
                <w:szCs w:val="16"/>
              </w:rPr>
              <w:t>19</w:t>
            </w:r>
          </w:p>
        </w:tc>
      </w:tr>
      <w:tr w:rsidR="00194336" w:rsidRPr="00C148C4" w14:paraId="403EEAE0" w14:textId="10C374D1" w:rsidTr="0036111D">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698" w:type="pct"/>
            <w:tcBorders>
              <w:top w:val="single" w:sz="4" w:space="0" w:color="FFFFFF"/>
            </w:tcBorders>
            <w:shd w:val="clear" w:color="auto" w:fill="153D63" w:themeFill="text2" w:themeFillTint="E6"/>
            <w:vAlign w:val="center"/>
          </w:tcPr>
          <w:p w14:paraId="14804B30" w14:textId="41542D83" w:rsidR="00F81378" w:rsidRPr="00C148C4" w:rsidRDefault="00F81378" w:rsidP="003B573D">
            <w:pPr>
              <w:spacing w:after="160" w:line="278" w:lineRule="auto"/>
              <w:rPr>
                <w:rFonts w:ascii="PT Serif" w:hAnsi="PT Serif"/>
                <w:sz w:val="16"/>
                <w:szCs w:val="16"/>
              </w:rPr>
            </w:pPr>
            <w:r w:rsidRPr="00C148C4">
              <w:rPr>
                <w:rFonts w:ascii="PT Serif" w:hAnsi="PT Serif"/>
                <w:sz w:val="16"/>
                <w:szCs w:val="16"/>
              </w:rPr>
              <w:t>Radilla Pacheco</w:t>
            </w:r>
            <w:r w:rsidRPr="00C148C4">
              <w:rPr>
                <w:rStyle w:val="Refdenotaalpie"/>
                <w:rFonts w:ascii="PT Serif" w:hAnsi="PT Serif"/>
                <w:sz w:val="16"/>
                <w:szCs w:val="16"/>
              </w:rPr>
              <w:footnoteReference w:id="7"/>
            </w:r>
            <w:r w:rsidR="00C66BF7" w:rsidRPr="00C148C4">
              <w:rPr>
                <w:rFonts w:ascii="PT Serif" w:hAnsi="PT Serif"/>
                <w:sz w:val="16"/>
                <w:szCs w:val="16"/>
              </w:rPr>
              <w:t xml:space="preserve"> </w:t>
            </w:r>
            <w:r w:rsidR="00C66BF7" w:rsidRPr="00C148C4">
              <w:rPr>
                <w:rStyle w:val="Refdenotaalpie"/>
                <w:rFonts w:ascii="PT Serif" w:hAnsi="PT Serif"/>
                <w:sz w:val="16"/>
                <w:szCs w:val="16"/>
              </w:rPr>
              <w:footnoteReference w:id="8"/>
            </w:r>
          </w:p>
        </w:tc>
        <w:tc>
          <w:tcPr>
            <w:tcW w:w="218" w:type="pct"/>
            <w:vAlign w:val="center"/>
          </w:tcPr>
          <w:p w14:paraId="18D137B2" w14:textId="5E60C2C8"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8" w:type="pct"/>
            <w:vAlign w:val="center"/>
          </w:tcPr>
          <w:p w14:paraId="2D52778A" w14:textId="1D03AAB0"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4FC0B4BC" w14:textId="1BD2E385"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191" w:type="pct"/>
            <w:vAlign w:val="center"/>
          </w:tcPr>
          <w:p w14:paraId="2EE274B4" w14:textId="6B1B099A"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40A3E027" w14:textId="38A615B2"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69DB0BF0" w14:textId="437DE4BD"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365D2E0" w14:textId="182A91A8"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4457A94D" w14:textId="5A63C792"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7206C536" w14:textId="3070F065"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33" w:type="pct"/>
            <w:vAlign w:val="center"/>
          </w:tcPr>
          <w:p w14:paraId="08C8AB72" w14:textId="3D592FFE"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46" w:type="pct"/>
            <w:vAlign w:val="center"/>
          </w:tcPr>
          <w:p w14:paraId="1565ED96" w14:textId="2CA216D0"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02585DAD"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130E6295"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29E8B278"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5F1362E2"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54C64DC8"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7FC3CC1E" w14:textId="77777777" w:rsidR="00F81378" w:rsidRPr="00C148C4" w:rsidRDefault="00F81378" w:rsidP="00B1287C">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5303D311" w14:textId="77777777" w:rsidR="00F81378" w:rsidRPr="00C148C4" w:rsidRDefault="00F81378" w:rsidP="00B1287C">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24" w:type="pct"/>
            <w:vAlign w:val="center"/>
          </w:tcPr>
          <w:p w14:paraId="35653744" w14:textId="77777777" w:rsidR="00F81378" w:rsidRPr="00C148C4" w:rsidRDefault="00F81378" w:rsidP="00F81378">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r>
      <w:tr w:rsidR="0036111D" w:rsidRPr="00C148C4" w14:paraId="186176DF" w14:textId="0705EE2B" w:rsidTr="0036111D">
        <w:trPr>
          <w:trHeight w:val="1028"/>
        </w:trPr>
        <w:tc>
          <w:tcPr>
            <w:cnfStyle w:val="001000000000" w:firstRow="0" w:lastRow="0" w:firstColumn="1" w:lastColumn="0" w:oddVBand="0" w:evenVBand="0" w:oddHBand="0" w:evenHBand="0" w:firstRowFirstColumn="0" w:firstRowLastColumn="0" w:lastRowFirstColumn="0" w:lastRowLastColumn="0"/>
            <w:tcW w:w="698" w:type="pct"/>
            <w:tcBorders>
              <w:top w:val="single" w:sz="4" w:space="0" w:color="FFFFFF"/>
            </w:tcBorders>
            <w:shd w:val="clear" w:color="auto" w:fill="153D63" w:themeFill="text2" w:themeFillTint="E6"/>
            <w:vAlign w:val="center"/>
          </w:tcPr>
          <w:p w14:paraId="48C57B73" w14:textId="4B3A3F3E" w:rsidR="00F81378" w:rsidRPr="00C148C4" w:rsidRDefault="00F81378" w:rsidP="003B573D">
            <w:pPr>
              <w:spacing w:after="160" w:line="278" w:lineRule="auto"/>
              <w:rPr>
                <w:rFonts w:ascii="PT Serif" w:hAnsi="PT Serif"/>
                <w:sz w:val="16"/>
                <w:szCs w:val="16"/>
              </w:rPr>
            </w:pPr>
            <w:r w:rsidRPr="00C148C4">
              <w:rPr>
                <w:rFonts w:ascii="PT Serif" w:hAnsi="PT Serif"/>
                <w:sz w:val="16"/>
                <w:szCs w:val="16"/>
              </w:rPr>
              <w:t>Alvarado Espinoza y otros</w:t>
            </w:r>
          </w:p>
        </w:tc>
        <w:tc>
          <w:tcPr>
            <w:tcW w:w="218" w:type="pct"/>
            <w:vAlign w:val="center"/>
          </w:tcPr>
          <w:p w14:paraId="5B1DD014" w14:textId="66B4A824"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8" w:type="pct"/>
            <w:vAlign w:val="center"/>
          </w:tcPr>
          <w:p w14:paraId="21C47F49" w14:textId="7D157068" w:rsidR="00F81378" w:rsidRPr="00C148C4" w:rsidRDefault="00FB1D4A"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0A53DC34" w14:textId="3D70061E" w:rsidR="00F81378" w:rsidRPr="00C148C4" w:rsidRDefault="00FB1D4A"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4E3371B5" w14:textId="0B41A6D0"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269E1D26" w14:textId="4B06B1C5"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1AD0FFF7" w14:textId="1D9AE381"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5EF8734E" w14:textId="78FA852A" w:rsidR="00F81378" w:rsidRPr="00C148C4" w:rsidRDefault="00FB1D4A"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17" w:type="pct"/>
            <w:vAlign w:val="center"/>
          </w:tcPr>
          <w:p w14:paraId="7C6C6999" w14:textId="680C3CE0" w:rsidR="00F81378" w:rsidRPr="00C148C4" w:rsidRDefault="00FB1D4A"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661C12DB" w14:textId="3D395E4F"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33" w:type="pct"/>
            <w:vAlign w:val="center"/>
          </w:tcPr>
          <w:p w14:paraId="5E0C5A8F" w14:textId="28B2A6A4"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46" w:type="pct"/>
            <w:vAlign w:val="center"/>
          </w:tcPr>
          <w:p w14:paraId="1AFB1B95" w14:textId="6E7201A7"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2E5DF1BB" w14:textId="77777777"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46" w:type="pct"/>
            <w:vAlign w:val="center"/>
          </w:tcPr>
          <w:p w14:paraId="650F5B2A" w14:textId="77777777"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p>
        </w:tc>
        <w:tc>
          <w:tcPr>
            <w:tcW w:w="246" w:type="pct"/>
            <w:vAlign w:val="center"/>
          </w:tcPr>
          <w:p w14:paraId="192937FF" w14:textId="5D3587DB" w:rsidR="00F81378" w:rsidRPr="00C148C4" w:rsidRDefault="00FB1D4A"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5D55EE07" w14:textId="28DF82CE" w:rsidR="00F81378" w:rsidRPr="00C148C4" w:rsidRDefault="0066206B"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olor w:val="0E2841" w:themeColor="text2"/>
                <w:sz w:val="16"/>
                <w:szCs w:val="16"/>
              </w:rPr>
            </w:pPr>
            <w:r w:rsidRPr="00C148C4">
              <w:rPr>
                <w:rFonts w:ascii="Apple Color Emoji" w:hAnsi="Apple Color Emoji" w:cs="Apple Color Emoji"/>
                <w:color w:val="0E2841" w:themeColor="text2"/>
                <w:sz w:val="16"/>
                <w:szCs w:val="16"/>
              </w:rPr>
              <w:t>✔</w:t>
            </w:r>
          </w:p>
        </w:tc>
        <w:tc>
          <w:tcPr>
            <w:tcW w:w="246" w:type="pct"/>
            <w:vAlign w:val="center"/>
          </w:tcPr>
          <w:p w14:paraId="41F1EFF1" w14:textId="472627F6" w:rsidR="00F81378" w:rsidRPr="00C148C4" w:rsidRDefault="00F81378" w:rsidP="003B573D">
            <w:pPr>
              <w:jc w:val="center"/>
              <w:cnfStyle w:val="000000000000" w:firstRow="0" w:lastRow="0" w:firstColumn="0" w:lastColumn="0" w:oddVBand="0" w:evenVBand="0" w:oddHBand="0" w:evenHBand="0" w:firstRowFirstColumn="0" w:firstRowLastColumn="0" w:lastRowFirstColumn="0" w:lastRowLastColumn="0"/>
              <w:rPr>
                <w:rFonts w:ascii="PT Serif" w:hAnsi="PT Serif" w:cs="Segoe UI Symbol"/>
                <w:color w:val="0E2841" w:themeColor="text2"/>
                <w:sz w:val="16"/>
                <w:szCs w:val="16"/>
              </w:rPr>
            </w:pPr>
            <w:r w:rsidRPr="00C148C4">
              <w:rPr>
                <w:rFonts w:ascii="Apple Color Emoji" w:hAnsi="Apple Color Emoji" w:cs="Apple Color Emoji"/>
                <w:color w:val="0E2841" w:themeColor="text2"/>
                <w:sz w:val="16"/>
                <w:szCs w:val="16"/>
              </w:rPr>
              <w:t>✔</w:t>
            </w:r>
          </w:p>
        </w:tc>
        <w:tc>
          <w:tcPr>
            <w:tcW w:w="246" w:type="pct"/>
            <w:vAlign w:val="center"/>
          </w:tcPr>
          <w:p w14:paraId="1A8352DE" w14:textId="4AF546F4" w:rsidR="00F81378" w:rsidRPr="00C148C4" w:rsidRDefault="00FB1D4A" w:rsidP="00B1287C">
            <w:pPr>
              <w:jc w:val="center"/>
              <w:cnfStyle w:val="000000000000" w:firstRow="0" w:lastRow="0" w:firstColumn="0" w:lastColumn="0" w:oddVBand="0" w:evenVBand="0" w:oddHBand="0" w:evenHBand="0" w:firstRowFirstColumn="0" w:firstRowLastColumn="0" w:lastRowFirstColumn="0" w:lastRowLastColumn="0"/>
              <w:rPr>
                <w:rFonts w:ascii="PT Serif" w:hAnsi="PT Serif" w:cs="Segoe UI Symbol"/>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26072A56" w14:textId="3EAFD556" w:rsidR="00F81378" w:rsidRPr="00C148C4" w:rsidRDefault="00FB1D4A" w:rsidP="00B1287C">
            <w:pPr>
              <w:jc w:val="center"/>
              <w:cnfStyle w:val="000000000000" w:firstRow="0" w:lastRow="0" w:firstColumn="0" w:lastColumn="0" w:oddVBand="0" w:evenVBand="0" w:oddHBand="0" w:evenHBand="0" w:firstRowFirstColumn="0" w:firstRowLastColumn="0" w:lastRowFirstColumn="0" w:lastRowLastColumn="0"/>
              <w:rPr>
                <w:rFonts w:ascii="PT Serif" w:hAnsi="PT Serif" w:cs="Segoe UI Symbol"/>
                <w:color w:val="0E2841" w:themeColor="text2"/>
                <w:sz w:val="16"/>
                <w:szCs w:val="16"/>
              </w:rPr>
            </w:pPr>
            <w:r w:rsidRPr="00C148C4">
              <w:rPr>
                <w:rFonts w:ascii="PT Serif" w:hAnsi="PT Serif" w:cs="Segoe UI Symbol"/>
                <w:color w:val="0E2841" w:themeColor="text2"/>
                <w:sz w:val="16"/>
                <w:szCs w:val="16"/>
              </w:rPr>
              <w:t>X</w:t>
            </w:r>
          </w:p>
        </w:tc>
        <w:tc>
          <w:tcPr>
            <w:tcW w:w="224" w:type="pct"/>
            <w:vAlign w:val="center"/>
          </w:tcPr>
          <w:p w14:paraId="098E9F85" w14:textId="637FC6B3" w:rsidR="00F81378" w:rsidRPr="00C148C4" w:rsidRDefault="00FB1D4A" w:rsidP="00F81378">
            <w:pPr>
              <w:jc w:val="center"/>
              <w:cnfStyle w:val="000000000000" w:firstRow="0" w:lastRow="0" w:firstColumn="0" w:lastColumn="0" w:oddVBand="0" w:evenVBand="0" w:oddHBand="0" w:evenHBand="0" w:firstRowFirstColumn="0" w:firstRowLastColumn="0" w:lastRowFirstColumn="0" w:lastRowLastColumn="0"/>
              <w:rPr>
                <w:rFonts w:ascii="PT Serif" w:hAnsi="PT Serif" w:cs="Segoe UI Symbol"/>
                <w:color w:val="0E2841" w:themeColor="text2"/>
                <w:sz w:val="16"/>
                <w:szCs w:val="16"/>
              </w:rPr>
            </w:pPr>
            <w:r w:rsidRPr="00C148C4">
              <w:rPr>
                <w:rFonts w:ascii="PT Serif" w:hAnsi="PT Serif" w:cs="Segoe UI Symbol"/>
                <w:color w:val="0E2841" w:themeColor="text2"/>
                <w:sz w:val="16"/>
                <w:szCs w:val="16"/>
              </w:rPr>
              <w:t>X</w:t>
            </w:r>
          </w:p>
        </w:tc>
      </w:tr>
      <w:tr w:rsidR="00194336" w:rsidRPr="00C148C4" w14:paraId="241D323E" w14:textId="3353470E" w:rsidTr="0036111D">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698" w:type="pct"/>
            <w:tcBorders>
              <w:top w:val="single" w:sz="4" w:space="0" w:color="FFFFFF" w:themeColor="background1"/>
            </w:tcBorders>
            <w:shd w:val="clear" w:color="auto" w:fill="153D63" w:themeFill="text2" w:themeFillTint="E6"/>
            <w:vAlign w:val="center"/>
          </w:tcPr>
          <w:p w14:paraId="6E1A0A32" w14:textId="50503A0F" w:rsidR="00F81378" w:rsidRPr="00C148C4" w:rsidRDefault="00F81378" w:rsidP="003B573D">
            <w:pPr>
              <w:spacing w:after="160" w:line="278" w:lineRule="auto"/>
              <w:rPr>
                <w:rFonts w:ascii="PT Serif" w:hAnsi="PT Serif"/>
                <w:sz w:val="16"/>
                <w:szCs w:val="16"/>
              </w:rPr>
            </w:pPr>
            <w:r w:rsidRPr="00C148C4">
              <w:rPr>
                <w:rFonts w:ascii="PT Serif" w:hAnsi="PT Serif"/>
                <w:sz w:val="16"/>
                <w:szCs w:val="16"/>
              </w:rPr>
              <w:t>González Méndez y otros</w:t>
            </w:r>
            <w:r w:rsidRPr="00C148C4">
              <w:rPr>
                <w:rStyle w:val="Refdenotaalpie"/>
                <w:rFonts w:ascii="PT Serif" w:hAnsi="PT Serif"/>
                <w:sz w:val="16"/>
                <w:szCs w:val="16"/>
              </w:rPr>
              <w:footnoteReference w:id="9"/>
            </w:r>
          </w:p>
        </w:tc>
        <w:tc>
          <w:tcPr>
            <w:tcW w:w="218" w:type="pct"/>
            <w:vAlign w:val="center"/>
          </w:tcPr>
          <w:p w14:paraId="7806216A" w14:textId="531E7190"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8" w:type="pct"/>
            <w:vAlign w:val="center"/>
          </w:tcPr>
          <w:p w14:paraId="1E3CC616" w14:textId="3BEDDF23"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1C880719" w14:textId="6670746A"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2984FA0A" w14:textId="3C50ECC3"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6D790EB2" w14:textId="52F4DDF9"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191" w:type="pct"/>
            <w:vAlign w:val="center"/>
          </w:tcPr>
          <w:p w14:paraId="5835C44A" w14:textId="74814A0D"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17" w:type="pct"/>
            <w:vAlign w:val="center"/>
          </w:tcPr>
          <w:p w14:paraId="21B82E04" w14:textId="6EF8B54C"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31CA0ED8" w14:textId="51346E02"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17" w:type="pct"/>
            <w:vAlign w:val="center"/>
          </w:tcPr>
          <w:p w14:paraId="2FA84192"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33" w:type="pct"/>
            <w:vAlign w:val="center"/>
          </w:tcPr>
          <w:p w14:paraId="64E8545B"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46" w:type="pct"/>
            <w:vAlign w:val="center"/>
          </w:tcPr>
          <w:p w14:paraId="3FF90A7D" w14:textId="017A9C29"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501438AC" w14:textId="2D0D58BF"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32CF0177" w14:textId="119A6FBB"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4A780A0C" w14:textId="0568C899"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r w:rsidRPr="00C148C4">
              <w:rPr>
                <w:rFonts w:ascii="PT Serif" w:hAnsi="PT Serif" w:cs="Segoe UI Symbol"/>
                <w:color w:val="0E2841" w:themeColor="text2"/>
                <w:sz w:val="16"/>
                <w:szCs w:val="16"/>
              </w:rPr>
              <w:t>X</w:t>
            </w:r>
          </w:p>
        </w:tc>
        <w:tc>
          <w:tcPr>
            <w:tcW w:w="246" w:type="pct"/>
            <w:vAlign w:val="center"/>
          </w:tcPr>
          <w:p w14:paraId="7A2643B3" w14:textId="45FB2F3E"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color w:val="0E2841" w:themeColor="text2"/>
                <w:sz w:val="16"/>
                <w:szCs w:val="16"/>
              </w:rPr>
            </w:pPr>
          </w:p>
        </w:tc>
        <w:tc>
          <w:tcPr>
            <w:tcW w:w="246" w:type="pct"/>
            <w:vAlign w:val="center"/>
          </w:tcPr>
          <w:p w14:paraId="76366D27" w14:textId="77777777" w:rsidR="00F81378" w:rsidRPr="00C148C4" w:rsidRDefault="00F81378" w:rsidP="003B573D">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1EEBDE9D" w14:textId="77777777" w:rsidR="00F81378" w:rsidRPr="00C148C4" w:rsidRDefault="00F81378" w:rsidP="00B1287C">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46" w:type="pct"/>
            <w:vAlign w:val="center"/>
          </w:tcPr>
          <w:p w14:paraId="56E36633" w14:textId="77777777" w:rsidR="00F81378" w:rsidRPr="00C148C4" w:rsidRDefault="00F81378" w:rsidP="00B1287C">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c>
          <w:tcPr>
            <w:tcW w:w="224" w:type="pct"/>
            <w:vAlign w:val="center"/>
          </w:tcPr>
          <w:p w14:paraId="1CD99FE2" w14:textId="77777777" w:rsidR="00F81378" w:rsidRPr="00C148C4" w:rsidRDefault="00F81378" w:rsidP="00F81378">
            <w:pPr>
              <w:jc w:val="center"/>
              <w:cnfStyle w:val="000000100000" w:firstRow="0" w:lastRow="0" w:firstColumn="0" w:lastColumn="0" w:oddVBand="0" w:evenVBand="0" w:oddHBand="1" w:evenHBand="0" w:firstRowFirstColumn="0" w:firstRowLastColumn="0" w:lastRowFirstColumn="0" w:lastRowLastColumn="0"/>
              <w:rPr>
                <w:rFonts w:ascii="PT Serif" w:hAnsi="PT Serif"/>
                <w:sz w:val="16"/>
                <w:szCs w:val="16"/>
              </w:rPr>
            </w:pPr>
          </w:p>
        </w:tc>
      </w:tr>
    </w:tbl>
    <w:bookmarkEnd w:id="7"/>
    <w:p w14:paraId="1E99FCE4" w14:textId="21A3F980" w:rsidR="00C148C4" w:rsidRPr="00C148C4" w:rsidRDefault="00622506" w:rsidP="00622506">
      <w:pPr>
        <w:spacing w:line="240" w:lineRule="auto"/>
        <w:jc w:val="both"/>
        <w:rPr>
          <w:rFonts w:ascii="PT Serif" w:hAnsi="PT Serif" w:cs="Times New Roman"/>
        </w:rPr>
      </w:pPr>
      <w:r w:rsidRPr="00074E2D">
        <w:rPr>
          <w:rFonts w:ascii="PT Serif" w:hAnsi="PT Serif" w:cs="Times New Roman"/>
          <w:i/>
          <w:iCs/>
        </w:rPr>
        <w:t xml:space="preserve">Nota. </w:t>
      </w:r>
      <w:r w:rsidRPr="00074E2D">
        <w:rPr>
          <w:rFonts w:ascii="PT Serif" w:hAnsi="PT Serif" w:cs="Times New Roman"/>
        </w:rPr>
        <w:t xml:space="preserve">Los números de cada columna representan las medidas reparatorias específicas que se enlistaron en el párrafo anterior. La </w:t>
      </w:r>
      <w:r w:rsidR="00FA26DC" w:rsidRPr="00074E2D">
        <w:rPr>
          <w:rFonts w:ascii="PT Serif" w:hAnsi="PT Serif" w:cs="Segoe UI Symbol"/>
        </w:rPr>
        <w:t>“</w:t>
      </w:r>
      <w:r w:rsidR="00FA26DC" w:rsidRPr="00074E2D">
        <w:rPr>
          <w:rFonts w:ascii="Apple Color Emoji" w:hAnsi="Apple Color Emoji" w:cs="Apple Color Emoji"/>
        </w:rPr>
        <w:t>✔</w:t>
      </w:r>
      <w:r w:rsidR="00FA26DC" w:rsidRPr="00074E2D">
        <w:rPr>
          <w:rFonts w:ascii="PT Serif" w:hAnsi="PT Serif" w:cs="Segoe UI Symbol"/>
        </w:rPr>
        <w:t xml:space="preserve">” </w:t>
      </w:r>
      <w:r w:rsidRPr="00074E2D">
        <w:rPr>
          <w:rFonts w:ascii="PT Serif" w:hAnsi="PT Serif" w:cs="Times New Roman"/>
        </w:rPr>
        <w:t xml:space="preserve">indica que la medida reparatoria ha sido satisfecha. La </w:t>
      </w:r>
      <w:r w:rsidR="00FA26DC" w:rsidRPr="00074E2D">
        <w:rPr>
          <w:rFonts w:ascii="PT Serif" w:hAnsi="PT Serif" w:cs="Times New Roman"/>
        </w:rPr>
        <w:t>“</w:t>
      </w:r>
      <w:r w:rsidR="00686909" w:rsidRPr="00074E2D">
        <w:rPr>
          <w:rFonts w:ascii="PT Serif" w:hAnsi="PT Serif" w:cs="Segoe UI Symbol"/>
        </w:rPr>
        <w:t>X</w:t>
      </w:r>
      <w:r w:rsidR="00FA26DC" w:rsidRPr="00074E2D">
        <w:rPr>
          <w:rFonts w:ascii="PT Serif" w:hAnsi="PT Serif" w:cs="Segoe UI Symbol"/>
        </w:rPr>
        <w:t>”</w:t>
      </w:r>
      <w:r w:rsidRPr="00074E2D">
        <w:rPr>
          <w:rFonts w:ascii="PT Serif" w:hAnsi="PT Serif" w:cs="Times New Roman"/>
        </w:rPr>
        <w:t xml:space="preserve"> significa que la medida aún </w:t>
      </w:r>
      <w:r w:rsidR="00C30E5D" w:rsidRPr="00074E2D">
        <w:rPr>
          <w:rFonts w:ascii="PT Serif" w:hAnsi="PT Serif" w:cs="Times New Roman"/>
        </w:rPr>
        <w:t xml:space="preserve">no </w:t>
      </w:r>
      <w:r w:rsidRPr="00074E2D">
        <w:rPr>
          <w:rFonts w:ascii="PT Serif" w:hAnsi="PT Serif" w:cs="Times New Roman"/>
        </w:rPr>
        <w:t xml:space="preserve">ha sido cumplida </w:t>
      </w:r>
      <w:r w:rsidR="00612E84" w:rsidRPr="00074E2D">
        <w:rPr>
          <w:rFonts w:ascii="PT Serif" w:hAnsi="PT Serif" w:cs="Times New Roman"/>
        </w:rPr>
        <w:t>o lo ha sido</w:t>
      </w:r>
      <w:r w:rsidR="00BF34FF" w:rsidRPr="00074E2D">
        <w:rPr>
          <w:rFonts w:ascii="PT Serif" w:hAnsi="PT Serif" w:cs="Times New Roman"/>
        </w:rPr>
        <w:t xml:space="preserve"> </w:t>
      </w:r>
      <w:r w:rsidR="00612E84" w:rsidRPr="00074E2D">
        <w:rPr>
          <w:rFonts w:ascii="PT Serif" w:hAnsi="PT Serif" w:cs="Times New Roman"/>
        </w:rPr>
        <w:t>parcialmente</w:t>
      </w:r>
      <w:r w:rsidRPr="00C148C4">
        <w:rPr>
          <w:rFonts w:ascii="PT Serif" w:hAnsi="PT Serif" w:cs="Times New Roman"/>
        </w:rPr>
        <w:t xml:space="preserve">. </w:t>
      </w:r>
    </w:p>
    <w:p w14:paraId="2FD9DA78" w14:textId="3B3CDA60" w:rsidR="00811EB1" w:rsidRPr="000430DB" w:rsidRDefault="00811EB1" w:rsidP="00811EB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De los resultados vertidos, llega a ser notorio</w:t>
      </w:r>
      <w:r>
        <w:rPr>
          <w:rFonts w:ascii="PT Serif" w:hAnsi="PT Serif" w:cs="Times New Roman"/>
          <w:sz w:val="24"/>
          <w:szCs w:val="24"/>
        </w:rPr>
        <w:t>,</w:t>
      </w:r>
      <w:r w:rsidRPr="000430DB">
        <w:rPr>
          <w:rFonts w:ascii="PT Serif" w:hAnsi="PT Serif" w:cs="Times New Roman"/>
          <w:sz w:val="24"/>
          <w:szCs w:val="24"/>
        </w:rPr>
        <w:t xml:space="preserve"> </w:t>
      </w:r>
      <w:r>
        <w:rPr>
          <w:rFonts w:ascii="PT Serif" w:hAnsi="PT Serif" w:cs="Times New Roman"/>
          <w:sz w:val="24"/>
          <w:szCs w:val="24"/>
        </w:rPr>
        <w:t>mayoritariamente hablando, el</w:t>
      </w:r>
      <w:r w:rsidRPr="000430DB">
        <w:rPr>
          <w:rFonts w:ascii="PT Serif" w:hAnsi="PT Serif" w:cs="Times New Roman"/>
          <w:sz w:val="24"/>
          <w:szCs w:val="24"/>
        </w:rPr>
        <w:t xml:space="preserve"> incumplimiento de los Estados respecto a las medidas reparatorias que la CoIDH impuso sobre éstos.  En una comparativa, pese a México encontrar menor cantidad de resoluciones en su contra, no ha implicado una mejor atención respecto a Perú que cuenta con siete sentencias condenatorias extras. Un hecho desalentador para el </w:t>
      </w:r>
      <w:r w:rsidRPr="000430DB">
        <w:rPr>
          <w:rFonts w:ascii="PT Serif" w:hAnsi="PT Serif" w:cs="Times New Roman"/>
          <w:sz w:val="24"/>
          <w:szCs w:val="24"/>
        </w:rPr>
        <w:lastRenderedPageBreak/>
        <w:t xml:space="preserve">derecho internacional, que paulatinamente </w:t>
      </w:r>
      <w:r>
        <w:rPr>
          <w:rFonts w:ascii="PT Serif" w:hAnsi="PT Serif" w:cs="Times New Roman"/>
          <w:sz w:val="24"/>
          <w:szCs w:val="24"/>
        </w:rPr>
        <w:t>establece</w:t>
      </w:r>
      <w:r w:rsidRPr="000430DB">
        <w:rPr>
          <w:rFonts w:ascii="PT Serif" w:hAnsi="PT Serif" w:cs="Times New Roman"/>
          <w:sz w:val="24"/>
          <w:szCs w:val="24"/>
        </w:rPr>
        <w:t xml:space="preserve"> un estamento cruel: el derecho internacional </w:t>
      </w:r>
      <w:r>
        <w:rPr>
          <w:rFonts w:ascii="PT Serif" w:hAnsi="PT Serif" w:cs="Times New Roman"/>
          <w:sz w:val="24"/>
          <w:szCs w:val="24"/>
        </w:rPr>
        <w:t xml:space="preserve">de derechos humanos </w:t>
      </w:r>
      <w:r w:rsidRPr="000430DB">
        <w:rPr>
          <w:rFonts w:ascii="PT Serif" w:hAnsi="PT Serif" w:cs="Times New Roman"/>
          <w:sz w:val="24"/>
          <w:szCs w:val="24"/>
        </w:rPr>
        <w:t xml:space="preserve">no interesa a </w:t>
      </w:r>
      <w:r w:rsidR="00FA4070">
        <w:rPr>
          <w:rFonts w:ascii="PT Serif" w:hAnsi="PT Serif" w:cs="Times New Roman"/>
          <w:sz w:val="24"/>
          <w:szCs w:val="24"/>
        </w:rPr>
        <w:t>Perú</w:t>
      </w:r>
      <w:r w:rsidRPr="000430DB">
        <w:rPr>
          <w:rFonts w:ascii="PT Serif" w:hAnsi="PT Serif" w:cs="Times New Roman"/>
          <w:sz w:val="24"/>
          <w:szCs w:val="24"/>
        </w:rPr>
        <w:t xml:space="preserve"> ni a </w:t>
      </w:r>
      <w:r w:rsidR="00FA4070">
        <w:rPr>
          <w:rFonts w:ascii="PT Serif" w:hAnsi="PT Serif" w:cs="Times New Roman"/>
          <w:sz w:val="24"/>
          <w:szCs w:val="24"/>
        </w:rPr>
        <w:t>México</w:t>
      </w:r>
      <w:r w:rsidRPr="000430DB">
        <w:rPr>
          <w:rStyle w:val="Refdenotaalpie"/>
          <w:rFonts w:ascii="PT Serif" w:hAnsi="PT Serif" w:cs="Times New Roman"/>
          <w:sz w:val="24"/>
          <w:szCs w:val="24"/>
        </w:rPr>
        <w:footnoteReference w:id="10"/>
      </w:r>
      <w:r w:rsidRPr="000430DB">
        <w:rPr>
          <w:rFonts w:ascii="PT Serif" w:hAnsi="PT Serif" w:cs="Times New Roman"/>
          <w:sz w:val="24"/>
          <w:szCs w:val="24"/>
        </w:rPr>
        <w:t xml:space="preserve">. </w:t>
      </w:r>
    </w:p>
    <w:p w14:paraId="045C661C" w14:textId="62CF59BD" w:rsidR="00C148C4" w:rsidRPr="00811EB1" w:rsidRDefault="00811EB1"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Las explicaciones a esta aseveración no llegan categorizarse a un hecho de inobservancia nada más, sino que engloba cuestiones preocupantes al presenciarse acontecimientos donde el Estado ha decidido confrontar directamente los pronunciamientos de la CoIDH que textualmente en sus resoluciones habría ordenado la no realización de un determinado acto en un momento racionalmente atendible</w:t>
      </w:r>
      <w:r>
        <w:rPr>
          <w:rFonts w:ascii="PT Serif" w:hAnsi="PT Serif" w:cs="Times New Roman"/>
          <w:sz w:val="24"/>
          <w:szCs w:val="24"/>
        </w:rPr>
        <w:t>.</w:t>
      </w:r>
      <w:r w:rsidRPr="000430DB">
        <w:rPr>
          <w:rFonts w:ascii="PT Serif" w:hAnsi="PT Serif" w:cs="Times New Roman"/>
          <w:sz w:val="24"/>
          <w:szCs w:val="24"/>
        </w:rPr>
        <w:t xml:space="preserve"> </w:t>
      </w:r>
      <w:r w:rsidR="003C656A">
        <w:rPr>
          <w:rFonts w:ascii="PT Serif" w:hAnsi="PT Serif" w:cs="Times New Roman"/>
          <w:sz w:val="24"/>
          <w:szCs w:val="24"/>
        </w:rPr>
        <w:t>Revisemos</w:t>
      </w:r>
      <w:r>
        <w:rPr>
          <w:rFonts w:ascii="PT Serif" w:hAnsi="PT Serif" w:cs="Times New Roman"/>
          <w:sz w:val="24"/>
          <w:szCs w:val="24"/>
        </w:rPr>
        <w:t xml:space="preserve"> esta asimilación en el siguiente apartado. </w:t>
      </w:r>
    </w:p>
    <w:p w14:paraId="5372B688" w14:textId="08152A8B" w:rsidR="00EF64E3" w:rsidRPr="000430DB" w:rsidRDefault="00EF64E3" w:rsidP="00166BDB">
      <w:pPr>
        <w:pStyle w:val="Prrafodelista"/>
        <w:numPr>
          <w:ilvl w:val="0"/>
          <w:numId w:val="2"/>
        </w:numPr>
        <w:spacing w:line="360" w:lineRule="auto"/>
        <w:ind w:left="1077"/>
        <w:jc w:val="both"/>
        <w:rPr>
          <w:rFonts w:ascii="PT Serif" w:hAnsi="PT Serif" w:cs="Times New Roman"/>
          <w:b/>
          <w:bCs/>
          <w:i/>
          <w:iCs/>
          <w:smallCaps/>
          <w:sz w:val="24"/>
          <w:szCs w:val="24"/>
        </w:rPr>
      </w:pPr>
      <w:r w:rsidRPr="000430DB">
        <w:rPr>
          <w:rFonts w:ascii="PT Serif" w:hAnsi="PT Serif" w:cs="Times New Roman"/>
          <w:b/>
          <w:bCs/>
          <w:i/>
          <w:iCs/>
          <w:smallCaps/>
          <w:sz w:val="24"/>
          <w:szCs w:val="24"/>
        </w:rPr>
        <w:t xml:space="preserve">PROMESAS EN EL VIENTO: LA FRAGILIDAD DEL DERECHO INTERNACIONAL FRENTE A LA DESAPARICIÓN FORZADA </w:t>
      </w:r>
    </w:p>
    <w:p w14:paraId="37B89254" w14:textId="526DBFE4" w:rsidR="002E532F" w:rsidRDefault="00811EB1" w:rsidP="003A06AA">
      <w:pPr>
        <w:spacing w:line="360" w:lineRule="auto"/>
        <w:ind w:firstLine="720"/>
        <w:jc w:val="both"/>
        <w:rPr>
          <w:rFonts w:ascii="PT Serif" w:hAnsi="PT Serif" w:cs="Times New Roman"/>
          <w:sz w:val="24"/>
          <w:szCs w:val="24"/>
        </w:rPr>
      </w:pPr>
      <w:r>
        <w:rPr>
          <w:rFonts w:ascii="PT Serif" w:hAnsi="PT Serif" w:cs="Times New Roman"/>
          <w:sz w:val="24"/>
          <w:szCs w:val="24"/>
        </w:rPr>
        <w:t xml:space="preserve">La exposición de las medidas de reparación no cumplidas, que son previstas en el enlistado de sentencias contra los Estados, advierte tomar preocupaciones que, como se ha comentado, no deben centrarse en una simple inatención, sino a un quebrantamiento </w:t>
      </w:r>
      <w:r w:rsidR="002E532F">
        <w:rPr>
          <w:rFonts w:ascii="PT Serif" w:hAnsi="PT Serif" w:cs="Times New Roman"/>
          <w:sz w:val="24"/>
          <w:szCs w:val="24"/>
        </w:rPr>
        <w:t>al efecto “catalizador” que autores refieren sobre el derecho internacional e interamericano en donde se ven a las decisiones del tribunal regional “</w:t>
      </w:r>
      <w:r w:rsidR="002E532F" w:rsidRPr="002E532F">
        <w:rPr>
          <w:rFonts w:ascii="PT Serif" w:hAnsi="PT Serif" w:cs="Times New Roman"/>
          <w:sz w:val="24"/>
          <w:szCs w:val="24"/>
        </w:rPr>
        <w:t>como impulsoras de cambios no sólo legislativos, sino institucionales, sociales e</w:t>
      </w:r>
      <w:r w:rsidR="002E532F" w:rsidRPr="002E532F">
        <w:t xml:space="preserve"> </w:t>
      </w:r>
      <w:r w:rsidR="002E532F" w:rsidRPr="002E532F">
        <w:rPr>
          <w:rFonts w:ascii="PT Serif" w:hAnsi="PT Serif" w:cs="Times New Roman"/>
          <w:sz w:val="24"/>
          <w:szCs w:val="24"/>
        </w:rPr>
        <w:t>incluso políticos</w:t>
      </w:r>
      <w:r w:rsidR="002E532F">
        <w:rPr>
          <w:rFonts w:ascii="PT Serif" w:hAnsi="PT Serif" w:cs="Times New Roman"/>
          <w:sz w:val="24"/>
          <w:szCs w:val="24"/>
        </w:rPr>
        <w:t>” (Quintana, 2017, pp. 93-94). En realidad, estaríamos ante un efecto “evaporador” pues lejos de que las sentencias permeen en el orden estatal, se disuelven en la indiferencia institucional</w:t>
      </w:r>
      <w:r>
        <w:rPr>
          <w:rFonts w:ascii="PT Serif" w:hAnsi="PT Serif" w:cs="Times New Roman"/>
          <w:sz w:val="24"/>
          <w:szCs w:val="24"/>
        </w:rPr>
        <w:t>, l</w:t>
      </w:r>
      <w:r w:rsidR="002E532F">
        <w:rPr>
          <w:rFonts w:ascii="PT Serif" w:hAnsi="PT Serif" w:cs="Times New Roman"/>
          <w:sz w:val="24"/>
          <w:szCs w:val="24"/>
        </w:rPr>
        <w:t>a inercia gubernamental</w:t>
      </w:r>
      <w:r>
        <w:rPr>
          <w:rFonts w:ascii="PT Serif" w:hAnsi="PT Serif" w:cs="Times New Roman"/>
          <w:sz w:val="24"/>
          <w:szCs w:val="24"/>
        </w:rPr>
        <w:t xml:space="preserve"> y la confrontación directa a mandamientos del Tribunal Supranacional. </w:t>
      </w:r>
    </w:p>
    <w:p w14:paraId="376DC0DC" w14:textId="05DBA4FD" w:rsidR="00811EB1" w:rsidRDefault="00811EB1" w:rsidP="00811EB1">
      <w:pPr>
        <w:spacing w:line="360" w:lineRule="auto"/>
        <w:ind w:firstLine="720"/>
        <w:jc w:val="both"/>
        <w:rPr>
          <w:rFonts w:ascii="PT Serif" w:hAnsi="PT Serif" w:cs="Times New Roman"/>
          <w:sz w:val="24"/>
          <w:szCs w:val="24"/>
        </w:rPr>
      </w:pPr>
      <w:r>
        <w:rPr>
          <w:rFonts w:ascii="PT Serif" w:hAnsi="PT Serif" w:cs="Times New Roman"/>
          <w:sz w:val="24"/>
          <w:szCs w:val="24"/>
        </w:rPr>
        <w:t xml:space="preserve">Hablamos de encontrar una postura indistinta a los propósitos que allegan la firma de la CADH y el reconocimiento del Tribunal Supranacional, como si se tratase </w:t>
      </w:r>
      <w:r>
        <w:rPr>
          <w:rFonts w:ascii="PT Serif" w:hAnsi="PT Serif" w:cs="Times New Roman"/>
          <w:sz w:val="24"/>
          <w:szCs w:val="24"/>
        </w:rPr>
        <w:lastRenderedPageBreak/>
        <w:t>de decir que las posturas de este ente no tiene</w:t>
      </w:r>
      <w:r w:rsidR="00F858F5">
        <w:rPr>
          <w:rFonts w:ascii="PT Serif" w:hAnsi="PT Serif" w:cs="Times New Roman"/>
          <w:sz w:val="24"/>
          <w:szCs w:val="24"/>
        </w:rPr>
        <w:t>n</w:t>
      </w:r>
      <w:r>
        <w:rPr>
          <w:rFonts w:ascii="PT Serif" w:hAnsi="PT Serif" w:cs="Times New Roman"/>
          <w:sz w:val="24"/>
          <w:szCs w:val="24"/>
        </w:rPr>
        <w:t xml:space="preserve"> peso o no importan, pues el interés </w:t>
      </w:r>
      <w:r w:rsidR="00F858F5">
        <w:rPr>
          <w:rFonts w:ascii="PT Serif" w:hAnsi="PT Serif" w:cs="Times New Roman"/>
          <w:sz w:val="24"/>
          <w:szCs w:val="24"/>
        </w:rPr>
        <w:t xml:space="preserve">político y la envergadura legislativa </w:t>
      </w:r>
      <w:r w:rsidR="00676803">
        <w:rPr>
          <w:rFonts w:ascii="PT Serif" w:hAnsi="PT Serif" w:cs="Times New Roman"/>
          <w:sz w:val="24"/>
          <w:szCs w:val="24"/>
        </w:rPr>
        <w:t xml:space="preserve">que cubre </w:t>
      </w:r>
      <w:r w:rsidR="00F858F5">
        <w:rPr>
          <w:rFonts w:ascii="PT Serif" w:hAnsi="PT Serif" w:cs="Times New Roman"/>
          <w:sz w:val="24"/>
          <w:szCs w:val="24"/>
        </w:rPr>
        <w:t xml:space="preserve">dicho interés son los que predominan aun cuando se refleje de manera expresa una violación de derechos humanos. </w:t>
      </w:r>
      <w:r w:rsidR="00676803">
        <w:rPr>
          <w:rFonts w:ascii="PT Serif" w:hAnsi="PT Serif" w:cs="Times New Roman"/>
          <w:sz w:val="24"/>
          <w:szCs w:val="24"/>
        </w:rPr>
        <w:t xml:space="preserve">La discrecionalidad del Estado queda por encima de su responsabilidad estatal. </w:t>
      </w:r>
    </w:p>
    <w:p w14:paraId="1DB10680" w14:textId="3CD1F67A" w:rsidR="00E40212" w:rsidRPr="000430DB" w:rsidRDefault="00E40212" w:rsidP="00E40212">
      <w:pPr>
        <w:spacing w:line="360" w:lineRule="auto"/>
        <w:ind w:firstLine="720"/>
        <w:jc w:val="both"/>
        <w:rPr>
          <w:rFonts w:ascii="PT Serif" w:hAnsi="PT Serif" w:cs="Times New Roman"/>
          <w:sz w:val="24"/>
          <w:szCs w:val="24"/>
        </w:rPr>
      </w:pPr>
      <w:r w:rsidRPr="000430DB">
        <w:rPr>
          <w:rFonts w:ascii="PT Serif" w:hAnsi="PT Serif" w:cs="Times New Roman"/>
          <w:sz w:val="24"/>
          <w:szCs w:val="24"/>
        </w:rPr>
        <w:t>Resulta, por tanto, esencial examinar estos ejemplos en detalle para comprender por qué la jurisprudencia de la CoIDH no ha logrado una incidencia plena en los sistemas jurídicos nacionales</w:t>
      </w:r>
      <w:r w:rsidR="00676803">
        <w:rPr>
          <w:rFonts w:ascii="PT Serif" w:hAnsi="PT Serif" w:cs="Times New Roman"/>
          <w:sz w:val="24"/>
          <w:szCs w:val="24"/>
        </w:rPr>
        <w:t xml:space="preserve"> en esta materia</w:t>
      </w:r>
      <w:r w:rsidRPr="000430DB">
        <w:rPr>
          <w:rFonts w:ascii="PT Serif" w:hAnsi="PT Serif" w:cs="Times New Roman"/>
          <w:sz w:val="24"/>
          <w:szCs w:val="24"/>
        </w:rPr>
        <w:t>. A partir de este análisis, se podrán extraer reflexiones más amplias sobre los desafíos estructurales que persisten en la implementación de las obligaciones internacionales.</w:t>
      </w:r>
    </w:p>
    <w:p w14:paraId="2FEA5B6F" w14:textId="47B286D2" w:rsidR="00C148C4" w:rsidRPr="000430DB" w:rsidRDefault="00087DB5"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De igual manera, </w:t>
      </w:r>
      <w:r w:rsidR="00F57BED">
        <w:rPr>
          <w:rFonts w:ascii="PT Serif" w:hAnsi="PT Serif" w:cs="Times New Roman"/>
          <w:sz w:val="24"/>
          <w:szCs w:val="24"/>
        </w:rPr>
        <w:t xml:space="preserve">cabe advertir, que </w:t>
      </w:r>
      <w:r w:rsidRPr="000430DB">
        <w:rPr>
          <w:rFonts w:ascii="PT Serif" w:hAnsi="PT Serif" w:cs="Times New Roman"/>
          <w:sz w:val="24"/>
          <w:szCs w:val="24"/>
        </w:rPr>
        <w:t xml:space="preserve">si bien cada país presenta particularidades que justifican un tratamiento diferenciado de su nivel de cumplimiento, las deficiencias en la ejecución de las sentencias de la CoIDH </w:t>
      </w:r>
      <w:r w:rsidR="00F57BED">
        <w:rPr>
          <w:rFonts w:ascii="PT Serif" w:hAnsi="PT Serif" w:cs="Times New Roman"/>
          <w:sz w:val="24"/>
          <w:szCs w:val="24"/>
        </w:rPr>
        <w:t xml:space="preserve">que se mostrarán </w:t>
      </w:r>
      <w:r w:rsidRPr="000430DB">
        <w:rPr>
          <w:rFonts w:ascii="PT Serif" w:hAnsi="PT Serif" w:cs="Times New Roman"/>
          <w:sz w:val="24"/>
          <w:szCs w:val="24"/>
        </w:rPr>
        <w:t xml:space="preserve">no son exclusivas de uno u otro Estado. En realidad, las omisiones en la reparación de las víctimas y la falta de implementación efectiva de las medidas ordenadas evidencian patrones estructurales de </w:t>
      </w:r>
      <w:r w:rsidR="00CD3D6B">
        <w:rPr>
          <w:rFonts w:ascii="PT Serif" w:hAnsi="PT Serif" w:cs="Times New Roman"/>
          <w:sz w:val="24"/>
          <w:szCs w:val="24"/>
        </w:rPr>
        <w:t>desentendimiento</w:t>
      </w:r>
      <w:r w:rsidRPr="000430DB">
        <w:rPr>
          <w:rFonts w:ascii="PT Serif" w:hAnsi="PT Serif" w:cs="Times New Roman"/>
          <w:sz w:val="24"/>
          <w:szCs w:val="24"/>
        </w:rPr>
        <w:t xml:space="preserve"> frente a los compromisos asumidos.</w:t>
      </w:r>
    </w:p>
    <w:p w14:paraId="7E92E57F" w14:textId="5773F1DC" w:rsidR="00EF64E3" w:rsidRPr="000430DB" w:rsidRDefault="00676803" w:rsidP="00887B51">
      <w:pPr>
        <w:pStyle w:val="Prrafodelista"/>
        <w:numPr>
          <w:ilvl w:val="0"/>
          <w:numId w:val="21"/>
        </w:numPr>
        <w:spacing w:line="360" w:lineRule="auto"/>
        <w:jc w:val="both"/>
        <w:rPr>
          <w:rFonts w:ascii="PT Serif" w:hAnsi="PT Serif" w:cs="Times New Roman"/>
          <w:sz w:val="24"/>
          <w:szCs w:val="24"/>
        </w:rPr>
      </w:pPr>
      <w:r w:rsidRPr="000430DB">
        <w:rPr>
          <w:rFonts w:ascii="PT Serif" w:hAnsi="PT Serif" w:cs="Times New Roman"/>
          <w:i/>
          <w:iCs/>
          <w:sz w:val="24"/>
          <w:szCs w:val="24"/>
        </w:rPr>
        <w:t xml:space="preserve">LA DESCONEXIÓN ENTRE LA </w:t>
      </w:r>
      <w:r>
        <w:rPr>
          <w:rFonts w:ascii="PT Serif" w:hAnsi="PT Serif" w:cs="Times New Roman"/>
          <w:i/>
          <w:iCs/>
          <w:sz w:val="24"/>
          <w:szCs w:val="24"/>
        </w:rPr>
        <w:t>CORTE INTERAMERICANA</w:t>
      </w:r>
      <w:r w:rsidRPr="000430DB">
        <w:rPr>
          <w:rFonts w:ascii="PT Serif" w:hAnsi="PT Serif" w:cs="Times New Roman"/>
          <w:i/>
          <w:iCs/>
          <w:sz w:val="24"/>
          <w:szCs w:val="24"/>
        </w:rPr>
        <w:t xml:space="preserve"> Y EL ESTADO PERUANO EN LAS REPARACIONES </w:t>
      </w:r>
      <w:r>
        <w:rPr>
          <w:rFonts w:ascii="PT Serif" w:hAnsi="PT Serif" w:cs="Times New Roman"/>
          <w:i/>
          <w:iCs/>
          <w:sz w:val="24"/>
          <w:szCs w:val="24"/>
        </w:rPr>
        <w:t>VICTIMALES</w:t>
      </w:r>
    </w:p>
    <w:p w14:paraId="78FF18AA" w14:textId="7BA02845" w:rsidR="00887B51" w:rsidRPr="000430DB" w:rsidRDefault="00676803" w:rsidP="003A06AA">
      <w:pPr>
        <w:spacing w:line="360" w:lineRule="auto"/>
        <w:ind w:firstLine="720"/>
        <w:jc w:val="both"/>
        <w:rPr>
          <w:rFonts w:ascii="PT Serif" w:hAnsi="PT Serif" w:cs="Times New Roman"/>
          <w:sz w:val="24"/>
          <w:szCs w:val="24"/>
        </w:rPr>
      </w:pPr>
      <w:r>
        <w:rPr>
          <w:rFonts w:ascii="PT Serif" w:hAnsi="PT Serif" w:cs="Times New Roman"/>
          <w:sz w:val="24"/>
          <w:szCs w:val="24"/>
        </w:rPr>
        <w:t>Para iniciar con esta ejemplificación de indiferencia estatal, para el caso peruano, no hay mejor caso que el de</w:t>
      </w:r>
      <w:r w:rsidR="008641A0" w:rsidRPr="000430DB">
        <w:rPr>
          <w:rFonts w:ascii="PT Serif" w:hAnsi="PT Serif" w:cs="Times New Roman"/>
          <w:sz w:val="24"/>
          <w:szCs w:val="24"/>
        </w:rPr>
        <w:t xml:space="preserve"> La Cantuta</w:t>
      </w:r>
      <w:r>
        <w:rPr>
          <w:rFonts w:ascii="PT Serif" w:hAnsi="PT Serif" w:cs="Times New Roman"/>
          <w:sz w:val="24"/>
          <w:szCs w:val="24"/>
        </w:rPr>
        <w:t xml:space="preserve"> pues </w:t>
      </w:r>
      <w:r w:rsidR="008641A0" w:rsidRPr="000430DB">
        <w:rPr>
          <w:rFonts w:ascii="PT Serif" w:hAnsi="PT Serif" w:cs="Times New Roman"/>
          <w:sz w:val="24"/>
          <w:szCs w:val="24"/>
        </w:rPr>
        <w:t>a diferencia de las otras sentencias</w:t>
      </w:r>
      <w:r w:rsidR="00D70B7E" w:rsidRPr="000430DB">
        <w:rPr>
          <w:rFonts w:ascii="PT Serif" w:hAnsi="PT Serif" w:cs="Times New Roman"/>
          <w:sz w:val="24"/>
          <w:szCs w:val="24"/>
        </w:rPr>
        <w:t>,</w:t>
      </w:r>
      <w:r w:rsidR="008641A0" w:rsidRPr="000430DB">
        <w:rPr>
          <w:rFonts w:ascii="PT Serif" w:hAnsi="PT Serif" w:cs="Times New Roman"/>
          <w:sz w:val="24"/>
          <w:szCs w:val="24"/>
        </w:rPr>
        <w:t xml:space="preserve"> representa un </w:t>
      </w:r>
      <w:r w:rsidR="00E83289" w:rsidRPr="00074E2D">
        <w:rPr>
          <w:rFonts w:ascii="PT Serif" w:hAnsi="PT Serif" w:cs="Times New Roman"/>
          <w:sz w:val="24"/>
          <w:szCs w:val="24"/>
        </w:rPr>
        <w:t>momento decisivo</w:t>
      </w:r>
      <w:r w:rsidR="008641A0" w:rsidRPr="000430DB">
        <w:rPr>
          <w:rFonts w:ascii="PT Serif" w:hAnsi="PT Serif" w:cs="Times New Roman"/>
          <w:sz w:val="24"/>
          <w:szCs w:val="24"/>
        </w:rPr>
        <w:t xml:space="preserve"> en el apartado de la inobservancia a los mandamientos interamericanos al haber intensificado una vulneración de los derechos humanos de las víctimas y evidenciar cómo la falta de compromiso con las responsabilidades internacionales no solo perpetúa la impunidad, sino que puede sentar un preocupante precedente de </w:t>
      </w:r>
      <w:r w:rsidR="00087DB5" w:rsidRPr="000430DB">
        <w:rPr>
          <w:rFonts w:ascii="PT Serif" w:hAnsi="PT Serif" w:cs="Times New Roman"/>
          <w:sz w:val="24"/>
          <w:szCs w:val="24"/>
        </w:rPr>
        <w:t>desinterés</w:t>
      </w:r>
      <w:r w:rsidR="008641A0" w:rsidRPr="000430DB">
        <w:rPr>
          <w:rFonts w:ascii="PT Serif" w:hAnsi="PT Serif" w:cs="Times New Roman"/>
          <w:sz w:val="24"/>
          <w:szCs w:val="24"/>
        </w:rPr>
        <w:t xml:space="preserve"> estatal </w:t>
      </w:r>
      <w:r w:rsidR="00087DB5" w:rsidRPr="000430DB">
        <w:rPr>
          <w:rFonts w:ascii="PT Serif" w:hAnsi="PT Serif" w:cs="Times New Roman"/>
          <w:sz w:val="24"/>
          <w:szCs w:val="24"/>
        </w:rPr>
        <w:t>a sujetarse</w:t>
      </w:r>
      <w:r w:rsidR="008641A0" w:rsidRPr="000430DB">
        <w:rPr>
          <w:rFonts w:ascii="PT Serif" w:hAnsi="PT Serif" w:cs="Times New Roman"/>
          <w:sz w:val="24"/>
          <w:szCs w:val="24"/>
        </w:rPr>
        <w:t xml:space="preserve"> a las obligaciones derivadas del derecho internacional protector de derechos humanos.</w:t>
      </w:r>
    </w:p>
    <w:p w14:paraId="2A69AE7A" w14:textId="77777777" w:rsidR="00887B51" w:rsidRPr="000430DB" w:rsidRDefault="00EC4D80"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lastRenderedPageBreak/>
        <w:t>La sentencia había establecido como medida reparatoria el imperante de realizar</w:t>
      </w:r>
      <w:r w:rsidR="007A22F2" w:rsidRPr="000430DB">
        <w:rPr>
          <w:rFonts w:ascii="PT Serif" w:hAnsi="PT Serif" w:cs="Times New Roman"/>
          <w:sz w:val="24"/>
          <w:szCs w:val="24"/>
        </w:rPr>
        <w:t xml:space="preserve"> todas las diligencias debidas para completar eficazmente, en un plazo razonable, las investigaciones abiertas y los procesos incoados en la jurisdicción penal común, para determinar la responsabilidad de los autores de los hechos cometidos en perjuicio de las víctimas de desaparición forzada</w:t>
      </w:r>
      <w:r w:rsidR="0000187D" w:rsidRPr="000430DB">
        <w:rPr>
          <w:rFonts w:ascii="PT Serif" w:hAnsi="PT Serif" w:cs="Times New Roman"/>
          <w:sz w:val="24"/>
          <w:szCs w:val="24"/>
        </w:rPr>
        <w:t xml:space="preserve"> (CoIDH, 2006, p. 116)</w:t>
      </w:r>
      <w:r w:rsidR="007A22F2" w:rsidRPr="000430DB">
        <w:rPr>
          <w:rFonts w:ascii="PT Serif" w:hAnsi="PT Serif" w:cs="Times New Roman"/>
          <w:sz w:val="24"/>
          <w:szCs w:val="24"/>
        </w:rPr>
        <w:t xml:space="preserve">.  </w:t>
      </w:r>
    </w:p>
    <w:p w14:paraId="01D02BCE" w14:textId="2F7426E9" w:rsidR="00887B51" w:rsidRPr="000430DB" w:rsidRDefault="0023440D"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Con relación a esto, se </w:t>
      </w:r>
      <w:r w:rsidR="00E33152" w:rsidRPr="000430DB">
        <w:rPr>
          <w:rFonts w:ascii="PT Serif" w:hAnsi="PT Serif" w:cs="Times New Roman"/>
          <w:sz w:val="24"/>
          <w:szCs w:val="24"/>
        </w:rPr>
        <w:t>señala</w:t>
      </w:r>
      <w:r w:rsidRPr="000430DB">
        <w:rPr>
          <w:rFonts w:ascii="PT Serif" w:hAnsi="PT Serif" w:cs="Times New Roman"/>
          <w:sz w:val="24"/>
          <w:szCs w:val="24"/>
        </w:rPr>
        <w:t xml:space="preserve"> que e</w:t>
      </w:r>
      <w:r w:rsidR="00EC4D80" w:rsidRPr="000430DB">
        <w:rPr>
          <w:rFonts w:ascii="PT Serif" w:hAnsi="PT Serif" w:cs="Times New Roman"/>
          <w:sz w:val="24"/>
          <w:szCs w:val="24"/>
        </w:rPr>
        <w:t>l contexto en que se desenvolvió tal caso fue durante el mandato del expresidente Alberto Fujimori, quien posteriormente fue señalado como uno de los responsables de las desapariciones cometidas a los particulares</w:t>
      </w:r>
      <w:r w:rsidR="00192CF5" w:rsidRPr="000430DB">
        <w:rPr>
          <w:rFonts w:ascii="PT Serif" w:hAnsi="PT Serif" w:cs="Times New Roman"/>
          <w:sz w:val="24"/>
          <w:szCs w:val="24"/>
        </w:rPr>
        <w:t xml:space="preserve"> s</w:t>
      </w:r>
      <w:r w:rsidR="00EC4D80" w:rsidRPr="000430DB">
        <w:rPr>
          <w:rFonts w:ascii="PT Serif" w:hAnsi="PT Serif" w:cs="Times New Roman"/>
          <w:sz w:val="24"/>
          <w:szCs w:val="24"/>
        </w:rPr>
        <w:t>iendo</w:t>
      </w:r>
      <w:r w:rsidR="008462A4" w:rsidRPr="000430DB">
        <w:rPr>
          <w:rFonts w:ascii="PT Serif" w:hAnsi="PT Serif" w:cs="Times New Roman"/>
          <w:sz w:val="24"/>
          <w:szCs w:val="24"/>
        </w:rPr>
        <w:t xml:space="preserve"> consecuentemente </w:t>
      </w:r>
      <w:r w:rsidR="00EC4D80" w:rsidRPr="000430DB">
        <w:rPr>
          <w:rFonts w:ascii="PT Serif" w:hAnsi="PT Serif" w:cs="Times New Roman"/>
          <w:sz w:val="24"/>
          <w:szCs w:val="24"/>
        </w:rPr>
        <w:t>condenado</w:t>
      </w:r>
      <w:r w:rsidR="008462A4" w:rsidRPr="000430DB">
        <w:rPr>
          <w:rFonts w:ascii="PT Serif" w:hAnsi="PT Serif" w:cs="Times New Roman"/>
          <w:sz w:val="24"/>
          <w:szCs w:val="24"/>
        </w:rPr>
        <w:t xml:space="preserve"> </w:t>
      </w:r>
      <w:r w:rsidR="00EC4D80" w:rsidRPr="000430DB">
        <w:rPr>
          <w:rFonts w:ascii="PT Serif" w:hAnsi="PT Serif" w:cs="Times New Roman"/>
          <w:sz w:val="24"/>
          <w:szCs w:val="24"/>
        </w:rPr>
        <w:t>penalmente</w:t>
      </w:r>
      <w:r w:rsidR="007153D7" w:rsidRPr="000430DB">
        <w:rPr>
          <w:rFonts w:ascii="PT Serif" w:hAnsi="PT Serif" w:cs="Times New Roman"/>
          <w:sz w:val="24"/>
          <w:szCs w:val="24"/>
        </w:rPr>
        <w:t>,</w:t>
      </w:r>
      <w:r w:rsidR="00EC4D80" w:rsidRPr="000430DB">
        <w:rPr>
          <w:rFonts w:ascii="PT Serif" w:hAnsi="PT Serif" w:cs="Times New Roman"/>
          <w:sz w:val="24"/>
          <w:szCs w:val="24"/>
        </w:rPr>
        <w:t xml:space="preserve"> y</w:t>
      </w:r>
      <w:r w:rsidR="007153D7" w:rsidRPr="000430DB">
        <w:rPr>
          <w:rFonts w:ascii="PT Serif" w:hAnsi="PT Serif" w:cs="Times New Roman"/>
          <w:sz w:val="24"/>
          <w:szCs w:val="24"/>
        </w:rPr>
        <w:t xml:space="preserve"> no</w:t>
      </w:r>
      <w:r w:rsidR="00EC4D80" w:rsidRPr="000430DB">
        <w:rPr>
          <w:rFonts w:ascii="PT Serif" w:hAnsi="PT Serif" w:cs="Times New Roman"/>
          <w:sz w:val="24"/>
          <w:szCs w:val="24"/>
        </w:rPr>
        <w:t xml:space="preserve"> sólo por la desaparición forzada de </w:t>
      </w:r>
      <w:r w:rsidR="00E33152" w:rsidRPr="000430DB">
        <w:rPr>
          <w:rFonts w:ascii="PT Serif" w:hAnsi="PT Serif" w:cs="Times New Roman"/>
          <w:sz w:val="24"/>
          <w:szCs w:val="24"/>
        </w:rPr>
        <w:t>un profesor y nueve</w:t>
      </w:r>
      <w:r w:rsidR="00EC4D80" w:rsidRPr="000430DB">
        <w:rPr>
          <w:rFonts w:ascii="PT Serif" w:hAnsi="PT Serif" w:cs="Times New Roman"/>
          <w:sz w:val="24"/>
          <w:szCs w:val="24"/>
        </w:rPr>
        <w:t xml:space="preserve"> estudiantes de </w:t>
      </w:r>
      <w:r w:rsidR="00BC42E1">
        <w:rPr>
          <w:rFonts w:ascii="PT Serif" w:hAnsi="PT Serif" w:cs="Times New Roman"/>
          <w:sz w:val="24"/>
          <w:szCs w:val="24"/>
        </w:rPr>
        <w:t>La</w:t>
      </w:r>
      <w:r w:rsidR="00EC4D80" w:rsidRPr="000430DB">
        <w:rPr>
          <w:rFonts w:ascii="PT Serif" w:hAnsi="PT Serif" w:cs="Times New Roman"/>
          <w:sz w:val="24"/>
          <w:szCs w:val="24"/>
        </w:rPr>
        <w:t xml:space="preserve"> Cantuta, sino también por </w:t>
      </w:r>
      <w:r w:rsidR="00562F30" w:rsidRPr="000430DB">
        <w:rPr>
          <w:rFonts w:ascii="PT Serif" w:hAnsi="PT Serif" w:cs="Times New Roman"/>
          <w:sz w:val="24"/>
          <w:szCs w:val="24"/>
        </w:rPr>
        <w:t xml:space="preserve">la masacre de quince personas en Barrios Altos, </w:t>
      </w:r>
      <w:r w:rsidR="00EC4D80" w:rsidRPr="000430DB">
        <w:rPr>
          <w:rFonts w:ascii="PT Serif" w:hAnsi="PT Serif" w:cs="Times New Roman"/>
          <w:sz w:val="24"/>
          <w:szCs w:val="24"/>
        </w:rPr>
        <w:t>la ejecución de civiles</w:t>
      </w:r>
      <w:r w:rsidRPr="000430DB">
        <w:rPr>
          <w:rFonts w:ascii="PT Serif" w:hAnsi="PT Serif" w:cs="Times New Roman"/>
          <w:sz w:val="24"/>
          <w:szCs w:val="24"/>
        </w:rPr>
        <w:t>, y</w:t>
      </w:r>
      <w:r w:rsidR="00562F30" w:rsidRPr="000430DB">
        <w:rPr>
          <w:rFonts w:ascii="PT Serif" w:hAnsi="PT Serif" w:cs="Times New Roman"/>
          <w:sz w:val="24"/>
          <w:szCs w:val="24"/>
        </w:rPr>
        <w:t xml:space="preserve"> el secuestro d</w:t>
      </w:r>
      <w:r w:rsidR="00E33152" w:rsidRPr="000430DB">
        <w:rPr>
          <w:rFonts w:ascii="PT Serif" w:hAnsi="PT Serif" w:cs="Times New Roman"/>
          <w:sz w:val="24"/>
          <w:szCs w:val="24"/>
        </w:rPr>
        <w:t>el</w:t>
      </w:r>
      <w:r w:rsidR="00562F30" w:rsidRPr="000430DB">
        <w:rPr>
          <w:rFonts w:ascii="PT Serif" w:hAnsi="PT Serif" w:cs="Times New Roman"/>
          <w:sz w:val="24"/>
          <w:szCs w:val="24"/>
        </w:rPr>
        <w:t xml:space="preserve"> </w:t>
      </w:r>
      <w:r w:rsidR="0079697B" w:rsidRPr="000430DB">
        <w:rPr>
          <w:rFonts w:ascii="PT Serif" w:hAnsi="PT Serif" w:cs="Times New Roman"/>
          <w:sz w:val="24"/>
          <w:szCs w:val="24"/>
        </w:rPr>
        <w:t xml:space="preserve">empresario </w:t>
      </w:r>
      <w:r w:rsidR="00562F30" w:rsidRPr="000430DB">
        <w:rPr>
          <w:rFonts w:ascii="PT Serif" w:hAnsi="PT Serif" w:cs="Times New Roman"/>
          <w:sz w:val="24"/>
          <w:szCs w:val="24"/>
        </w:rPr>
        <w:t xml:space="preserve">Gustavo Gorriti y </w:t>
      </w:r>
      <w:r w:rsidR="0079697B" w:rsidRPr="000430DB">
        <w:rPr>
          <w:rFonts w:ascii="PT Serif" w:hAnsi="PT Serif" w:cs="Times New Roman"/>
          <w:sz w:val="24"/>
          <w:szCs w:val="24"/>
        </w:rPr>
        <w:t xml:space="preserve">el periodista </w:t>
      </w:r>
      <w:r w:rsidR="00562F30" w:rsidRPr="000430DB">
        <w:rPr>
          <w:rFonts w:ascii="PT Serif" w:hAnsi="PT Serif" w:cs="Times New Roman"/>
          <w:sz w:val="24"/>
          <w:szCs w:val="24"/>
        </w:rPr>
        <w:t>Samuel Dyer</w:t>
      </w:r>
      <w:r w:rsidR="0000187D" w:rsidRPr="000430DB">
        <w:rPr>
          <w:rFonts w:ascii="PT Serif" w:hAnsi="PT Serif" w:cs="Times New Roman"/>
          <w:sz w:val="24"/>
          <w:szCs w:val="24"/>
        </w:rPr>
        <w:t xml:space="preserve"> (CIDH, 2023)</w:t>
      </w:r>
      <w:r w:rsidR="00EC4D80" w:rsidRPr="000430DB">
        <w:rPr>
          <w:rFonts w:ascii="PT Serif" w:hAnsi="PT Serif" w:cs="Times New Roman"/>
          <w:sz w:val="24"/>
          <w:szCs w:val="24"/>
        </w:rPr>
        <w:t xml:space="preserve">. </w:t>
      </w:r>
    </w:p>
    <w:p w14:paraId="6668F750" w14:textId="27D7BFDA" w:rsidR="00887B51" w:rsidRPr="000430DB" w:rsidRDefault="003B79D9"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El </w:t>
      </w:r>
      <w:r w:rsidR="00170399" w:rsidRPr="000430DB">
        <w:rPr>
          <w:rFonts w:ascii="PT Serif" w:hAnsi="PT Serif" w:cs="Times New Roman"/>
          <w:sz w:val="24"/>
          <w:szCs w:val="24"/>
        </w:rPr>
        <w:t>acontecimiento</w:t>
      </w:r>
      <w:r w:rsidRPr="000430DB">
        <w:rPr>
          <w:rFonts w:ascii="PT Serif" w:hAnsi="PT Serif" w:cs="Times New Roman"/>
          <w:sz w:val="24"/>
          <w:szCs w:val="24"/>
        </w:rPr>
        <w:t xml:space="preserve"> relevante fue que el Tribunal Constitucional del Perú</w:t>
      </w:r>
      <w:r w:rsidR="00D70B7E" w:rsidRPr="000430DB">
        <w:rPr>
          <w:rFonts w:ascii="PT Serif" w:hAnsi="PT Serif" w:cs="Times New Roman"/>
          <w:sz w:val="24"/>
          <w:szCs w:val="24"/>
        </w:rPr>
        <w:t xml:space="preserve">, </w:t>
      </w:r>
      <w:r w:rsidRPr="000430DB">
        <w:rPr>
          <w:rFonts w:ascii="PT Serif" w:hAnsi="PT Serif" w:cs="Times New Roman"/>
          <w:sz w:val="24"/>
          <w:szCs w:val="24"/>
        </w:rPr>
        <w:t>órgano supremo de interpretación y control de la constitucionalidad</w:t>
      </w:r>
      <w:r w:rsidR="00D70B7E" w:rsidRPr="000430DB">
        <w:rPr>
          <w:rFonts w:ascii="PT Serif" w:hAnsi="PT Serif" w:cs="Times New Roman"/>
          <w:sz w:val="24"/>
          <w:szCs w:val="24"/>
        </w:rPr>
        <w:t>,</w:t>
      </w:r>
      <w:r w:rsidRPr="000430DB">
        <w:rPr>
          <w:rFonts w:ascii="PT Serif" w:hAnsi="PT Serif" w:cs="Times New Roman"/>
          <w:sz w:val="24"/>
          <w:szCs w:val="24"/>
        </w:rPr>
        <w:t xml:space="preserve"> ordenó</w:t>
      </w:r>
      <w:r w:rsidR="00601DAD" w:rsidRPr="000430DB">
        <w:rPr>
          <w:rFonts w:ascii="PT Serif" w:hAnsi="PT Serif" w:cs="Times New Roman"/>
          <w:sz w:val="24"/>
          <w:szCs w:val="24"/>
        </w:rPr>
        <w:t>, a través de la Resolución Suprema N° 281-2017-JUS de</w:t>
      </w:r>
      <w:r w:rsidR="00430350" w:rsidRPr="000430DB">
        <w:rPr>
          <w:rFonts w:ascii="PT Serif" w:hAnsi="PT Serif" w:cs="Times New Roman"/>
          <w:sz w:val="24"/>
          <w:szCs w:val="24"/>
        </w:rPr>
        <w:t>l</w:t>
      </w:r>
      <w:r w:rsidR="00601DAD" w:rsidRPr="000430DB">
        <w:rPr>
          <w:rFonts w:ascii="PT Serif" w:hAnsi="PT Serif" w:cs="Times New Roman"/>
          <w:sz w:val="24"/>
          <w:szCs w:val="24"/>
        </w:rPr>
        <w:t xml:space="preserve"> 24 de diciembre de 2017,</w:t>
      </w:r>
      <w:r w:rsidRPr="000430DB">
        <w:rPr>
          <w:rFonts w:ascii="PT Serif" w:hAnsi="PT Serif" w:cs="Times New Roman"/>
          <w:sz w:val="24"/>
          <w:szCs w:val="24"/>
        </w:rPr>
        <w:t xml:space="preserve"> la liberación inmediata</w:t>
      </w:r>
      <w:r w:rsidR="00601DAD" w:rsidRPr="000430DB">
        <w:rPr>
          <w:rFonts w:ascii="PT Serif" w:hAnsi="PT Serif" w:cs="Times New Roman"/>
          <w:sz w:val="24"/>
          <w:szCs w:val="24"/>
        </w:rPr>
        <w:t xml:space="preserve"> </w:t>
      </w:r>
      <w:r w:rsidRPr="000430DB">
        <w:rPr>
          <w:rFonts w:ascii="PT Serif" w:hAnsi="PT Serif" w:cs="Times New Roman"/>
          <w:sz w:val="24"/>
          <w:szCs w:val="24"/>
        </w:rPr>
        <w:t xml:space="preserve">del expresidente </w:t>
      </w:r>
      <w:r w:rsidR="00601DAD" w:rsidRPr="000430DB">
        <w:rPr>
          <w:rFonts w:ascii="PT Serif" w:hAnsi="PT Serif" w:cs="Times New Roman"/>
          <w:sz w:val="24"/>
          <w:szCs w:val="24"/>
        </w:rPr>
        <w:t>basándose en</w:t>
      </w:r>
      <w:r w:rsidRPr="000430DB">
        <w:rPr>
          <w:rFonts w:ascii="PT Serif" w:hAnsi="PT Serif" w:cs="Times New Roman"/>
          <w:sz w:val="24"/>
          <w:szCs w:val="24"/>
        </w:rPr>
        <w:t xml:space="preserve"> un indulto presidencial concedido en 2017 “por razones humanitarias”</w:t>
      </w:r>
      <w:r w:rsidR="0000187D" w:rsidRPr="000430DB">
        <w:rPr>
          <w:rFonts w:ascii="PT Serif" w:hAnsi="PT Serif" w:cs="Times New Roman"/>
          <w:sz w:val="24"/>
          <w:szCs w:val="24"/>
        </w:rPr>
        <w:t xml:space="preserve"> </w:t>
      </w:r>
      <w:r w:rsidR="00A25559" w:rsidRPr="000430DB">
        <w:rPr>
          <w:rFonts w:ascii="PT Serif" w:hAnsi="PT Serif" w:cs="Times New Roman"/>
          <w:sz w:val="24"/>
          <w:szCs w:val="24"/>
        </w:rPr>
        <w:t>el cual tuvo en consideración</w:t>
      </w:r>
      <w:r w:rsidR="00606C9E" w:rsidRPr="000430DB">
        <w:rPr>
          <w:rFonts w:ascii="PT Serif" w:hAnsi="PT Serif" w:cs="Times New Roman"/>
          <w:sz w:val="24"/>
          <w:szCs w:val="24"/>
        </w:rPr>
        <w:t xml:space="preserve"> </w:t>
      </w:r>
      <w:r w:rsidR="00A25559" w:rsidRPr="000430DB">
        <w:rPr>
          <w:rFonts w:ascii="PT Serif" w:hAnsi="PT Serif" w:cs="Times New Roman"/>
          <w:sz w:val="24"/>
          <w:szCs w:val="24"/>
        </w:rPr>
        <w:t>el estado grave de salud del exgobernante, así como una</w:t>
      </w:r>
      <w:r w:rsidR="00606C9E" w:rsidRPr="000430DB">
        <w:rPr>
          <w:rFonts w:ascii="PT Serif" w:hAnsi="PT Serif" w:cs="Times New Roman"/>
          <w:sz w:val="24"/>
          <w:szCs w:val="24"/>
        </w:rPr>
        <w:t xml:space="preserve"> </w:t>
      </w:r>
      <w:r w:rsidR="00A25559" w:rsidRPr="000430DB">
        <w:rPr>
          <w:rFonts w:ascii="PT Serif" w:hAnsi="PT Serif" w:cs="Times New Roman"/>
          <w:sz w:val="24"/>
          <w:szCs w:val="24"/>
        </w:rPr>
        <w:t>política de reconciliación</w:t>
      </w:r>
      <w:r w:rsidR="00A25559" w:rsidRPr="000430DB">
        <w:rPr>
          <w:rStyle w:val="Refdenotaalpie"/>
          <w:rFonts w:ascii="PT Serif" w:hAnsi="PT Serif" w:cs="Times New Roman"/>
          <w:sz w:val="24"/>
          <w:szCs w:val="24"/>
        </w:rPr>
        <w:footnoteReference w:id="11"/>
      </w:r>
      <w:r w:rsidR="00601DAD" w:rsidRPr="000430DB">
        <w:rPr>
          <w:rFonts w:ascii="PT Serif" w:hAnsi="PT Serif" w:cs="Times New Roman"/>
          <w:sz w:val="24"/>
          <w:szCs w:val="24"/>
        </w:rPr>
        <w:t xml:space="preserve">. </w:t>
      </w:r>
    </w:p>
    <w:p w14:paraId="3247FE93" w14:textId="77777777" w:rsidR="00887B51" w:rsidRPr="000430DB" w:rsidRDefault="007153D7"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Ante tal situación, l</w:t>
      </w:r>
      <w:r w:rsidR="00430350" w:rsidRPr="000430DB">
        <w:rPr>
          <w:rFonts w:ascii="PT Serif" w:hAnsi="PT Serif" w:cs="Times New Roman"/>
          <w:sz w:val="24"/>
          <w:szCs w:val="24"/>
        </w:rPr>
        <w:t xml:space="preserve">a Sala Penal Especial de la Corte Suprema de Justicia, a partir de un control de convencionalidad, determinó dejar sin efectos dicho indulto por ser contrario a las obligaciones internacionales, ordenando la recaptura de Alberto Fujimori, sin embargo, poco más se pudo hacer debido a que el Tribunal Constitucional </w:t>
      </w:r>
      <w:r w:rsidR="00430350" w:rsidRPr="000430DB">
        <w:rPr>
          <w:rFonts w:ascii="PT Serif" w:hAnsi="PT Serif" w:cs="Times New Roman"/>
          <w:sz w:val="24"/>
          <w:szCs w:val="24"/>
        </w:rPr>
        <w:lastRenderedPageBreak/>
        <w:t>dispuso restituir los efectos del indulto argumentando que la Sala carecía de competencia, “pues las normas sobre las que se ha justificado el control de convencionalidad efectuado […] solo otorgan competencias de juzgamiento y no sobre la ejecución de la condena”</w:t>
      </w:r>
      <w:r w:rsidR="00183FE3" w:rsidRPr="000430DB">
        <w:rPr>
          <w:rFonts w:ascii="PT Serif" w:hAnsi="PT Serif" w:cs="Times New Roman"/>
          <w:sz w:val="24"/>
          <w:szCs w:val="24"/>
        </w:rPr>
        <w:t xml:space="preserve"> (CoIDH, 2022, p. 12)</w:t>
      </w:r>
      <w:r w:rsidR="00430350" w:rsidRPr="000430DB">
        <w:rPr>
          <w:rFonts w:ascii="PT Serif" w:hAnsi="PT Serif" w:cs="Times New Roman"/>
          <w:sz w:val="24"/>
          <w:szCs w:val="24"/>
        </w:rPr>
        <w:t xml:space="preserve">. </w:t>
      </w:r>
    </w:p>
    <w:p w14:paraId="4C6BCE8E" w14:textId="28925C95" w:rsidR="00887B51" w:rsidRPr="000430DB" w:rsidRDefault="003B79D9" w:rsidP="00FA4070">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La CoIDH</w:t>
      </w:r>
      <w:r w:rsidR="0059323A" w:rsidRPr="000430DB">
        <w:rPr>
          <w:rFonts w:ascii="PT Serif" w:hAnsi="PT Serif" w:cs="Times New Roman"/>
          <w:sz w:val="24"/>
          <w:szCs w:val="24"/>
        </w:rPr>
        <w:t xml:space="preserve"> </w:t>
      </w:r>
      <w:r w:rsidR="007153D7" w:rsidRPr="000430DB">
        <w:rPr>
          <w:rFonts w:ascii="PT Serif" w:hAnsi="PT Serif" w:cs="Times New Roman"/>
          <w:sz w:val="24"/>
          <w:szCs w:val="24"/>
        </w:rPr>
        <w:t>ordenó al Estado, dentro de la</w:t>
      </w:r>
      <w:r w:rsidR="0079697B" w:rsidRPr="000430DB">
        <w:rPr>
          <w:rFonts w:ascii="PT Serif" w:hAnsi="PT Serif" w:cs="Times New Roman"/>
          <w:sz w:val="24"/>
          <w:szCs w:val="24"/>
        </w:rPr>
        <w:t xml:space="preserve"> revisión realizada</w:t>
      </w:r>
      <w:r w:rsidR="007153D7" w:rsidRPr="000430DB">
        <w:rPr>
          <w:rFonts w:ascii="PT Serif" w:hAnsi="PT Serif" w:cs="Times New Roman"/>
          <w:sz w:val="24"/>
          <w:szCs w:val="24"/>
        </w:rPr>
        <w:t xml:space="preserve"> sobre la sentencia condenatoria</w:t>
      </w:r>
      <w:r w:rsidR="00606C9E" w:rsidRPr="000430DB">
        <w:rPr>
          <w:rFonts w:ascii="PT Serif" w:hAnsi="PT Serif" w:cs="Times New Roman"/>
          <w:sz w:val="24"/>
          <w:szCs w:val="24"/>
        </w:rPr>
        <w:t xml:space="preserve"> de </w:t>
      </w:r>
      <w:r w:rsidR="0079697B" w:rsidRPr="000430DB">
        <w:rPr>
          <w:rFonts w:ascii="PT Serif" w:hAnsi="PT Serif" w:cs="Times New Roman"/>
          <w:sz w:val="24"/>
          <w:szCs w:val="24"/>
        </w:rPr>
        <w:t>fecha</w:t>
      </w:r>
      <w:r w:rsidR="007153D7" w:rsidRPr="000430DB">
        <w:rPr>
          <w:rFonts w:ascii="PT Serif" w:hAnsi="PT Serif" w:cs="Times New Roman"/>
          <w:sz w:val="24"/>
          <w:szCs w:val="24"/>
        </w:rPr>
        <w:t xml:space="preserve"> </w:t>
      </w:r>
      <w:r w:rsidR="0079697B" w:rsidRPr="000430DB">
        <w:rPr>
          <w:rFonts w:ascii="PT Serif" w:hAnsi="PT Serif" w:cs="Times New Roman"/>
          <w:sz w:val="24"/>
          <w:szCs w:val="24"/>
        </w:rPr>
        <w:t>30 de abril de 2018</w:t>
      </w:r>
      <w:r w:rsidR="00606C9E" w:rsidRPr="000430DB">
        <w:rPr>
          <w:rFonts w:ascii="PT Serif" w:hAnsi="PT Serif" w:cs="Times New Roman"/>
          <w:sz w:val="24"/>
          <w:szCs w:val="24"/>
        </w:rPr>
        <w:t>, a</w:t>
      </w:r>
      <w:r w:rsidR="007153D7" w:rsidRPr="000430DB">
        <w:rPr>
          <w:rFonts w:ascii="PT Serif" w:hAnsi="PT Serif" w:cs="Times New Roman"/>
          <w:sz w:val="24"/>
          <w:szCs w:val="24"/>
        </w:rPr>
        <w:t xml:space="preserve"> abstener</w:t>
      </w:r>
      <w:r w:rsidR="00606C9E" w:rsidRPr="000430DB">
        <w:rPr>
          <w:rFonts w:ascii="PT Serif" w:hAnsi="PT Serif" w:cs="Times New Roman"/>
          <w:sz w:val="24"/>
          <w:szCs w:val="24"/>
        </w:rPr>
        <w:t>se</w:t>
      </w:r>
      <w:r w:rsidR="007153D7" w:rsidRPr="000430DB">
        <w:rPr>
          <w:rFonts w:ascii="PT Serif" w:hAnsi="PT Serif" w:cs="Times New Roman"/>
          <w:sz w:val="24"/>
          <w:szCs w:val="24"/>
        </w:rPr>
        <w:t xml:space="preserve"> de ejecutar el indulto</w:t>
      </w:r>
      <w:r w:rsidRPr="000430DB">
        <w:rPr>
          <w:rFonts w:ascii="PT Serif" w:hAnsi="PT Serif" w:cs="Times New Roman"/>
          <w:sz w:val="24"/>
          <w:szCs w:val="24"/>
        </w:rPr>
        <w:t xml:space="preserve"> por contravenir las </w:t>
      </w:r>
      <w:r w:rsidR="006B7AED">
        <w:rPr>
          <w:rFonts w:ascii="PT Serif" w:hAnsi="PT Serif" w:cs="Times New Roman"/>
          <w:sz w:val="24"/>
          <w:szCs w:val="24"/>
        </w:rPr>
        <w:t>medidas</w:t>
      </w:r>
      <w:r w:rsidRPr="000430DB">
        <w:rPr>
          <w:rFonts w:ascii="PT Serif" w:hAnsi="PT Serif" w:cs="Times New Roman"/>
          <w:sz w:val="24"/>
          <w:szCs w:val="24"/>
        </w:rPr>
        <w:t xml:space="preserve"> </w:t>
      </w:r>
      <w:r w:rsidR="006B7AED">
        <w:rPr>
          <w:rFonts w:ascii="PT Serif" w:hAnsi="PT Serif" w:cs="Times New Roman"/>
          <w:sz w:val="24"/>
          <w:szCs w:val="24"/>
        </w:rPr>
        <w:t>impuestas</w:t>
      </w:r>
      <w:r w:rsidR="007153D7" w:rsidRPr="000430DB">
        <w:rPr>
          <w:rFonts w:ascii="PT Serif" w:hAnsi="PT Serif" w:cs="Times New Roman"/>
          <w:sz w:val="24"/>
          <w:szCs w:val="24"/>
        </w:rPr>
        <w:t xml:space="preserve"> en la </w:t>
      </w:r>
      <w:r w:rsidR="00606C9E" w:rsidRPr="000430DB">
        <w:rPr>
          <w:rFonts w:ascii="PT Serif" w:hAnsi="PT Serif" w:cs="Times New Roman"/>
          <w:sz w:val="24"/>
          <w:szCs w:val="24"/>
        </w:rPr>
        <w:t>resolución</w:t>
      </w:r>
      <w:r w:rsidR="007153D7" w:rsidRPr="000430DB">
        <w:rPr>
          <w:rFonts w:ascii="PT Serif" w:hAnsi="PT Serif" w:cs="Times New Roman"/>
          <w:sz w:val="24"/>
          <w:szCs w:val="24"/>
        </w:rPr>
        <w:t xml:space="preserve"> de la Cantuta</w:t>
      </w:r>
      <w:r w:rsidRPr="000430DB">
        <w:rPr>
          <w:rFonts w:ascii="PT Serif" w:hAnsi="PT Serif" w:cs="Times New Roman"/>
          <w:sz w:val="24"/>
          <w:szCs w:val="24"/>
        </w:rPr>
        <w:t xml:space="preserve"> </w:t>
      </w:r>
      <w:r w:rsidR="00606C9E" w:rsidRPr="000430DB">
        <w:rPr>
          <w:rFonts w:ascii="PT Serif" w:hAnsi="PT Serif" w:cs="Times New Roman"/>
          <w:sz w:val="24"/>
          <w:szCs w:val="24"/>
        </w:rPr>
        <w:t xml:space="preserve">y Barrios Altos, </w:t>
      </w:r>
      <w:r w:rsidRPr="000430DB">
        <w:rPr>
          <w:rFonts w:ascii="PT Serif" w:hAnsi="PT Serif" w:cs="Times New Roman"/>
          <w:sz w:val="24"/>
          <w:szCs w:val="24"/>
        </w:rPr>
        <w:t>y ser un acto violatorio a los derechos de las víctimas bajo la vertiente a tener un acceso</w:t>
      </w:r>
      <w:r w:rsidR="00192CF5" w:rsidRPr="000430DB">
        <w:rPr>
          <w:rFonts w:ascii="PT Serif" w:hAnsi="PT Serif" w:cs="Times New Roman"/>
          <w:sz w:val="24"/>
          <w:szCs w:val="24"/>
        </w:rPr>
        <w:t xml:space="preserve"> efectivo</w:t>
      </w:r>
      <w:r w:rsidRPr="000430DB">
        <w:rPr>
          <w:rFonts w:ascii="PT Serif" w:hAnsi="PT Serif" w:cs="Times New Roman"/>
          <w:sz w:val="24"/>
          <w:szCs w:val="24"/>
        </w:rPr>
        <w:t xml:space="preserve"> a la justicia. </w:t>
      </w:r>
      <w:r w:rsidR="00573EE3" w:rsidRPr="000430DB">
        <w:rPr>
          <w:rFonts w:ascii="PT Serif" w:hAnsi="PT Serif" w:cs="Times New Roman"/>
          <w:sz w:val="24"/>
          <w:szCs w:val="24"/>
        </w:rPr>
        <w:t>El Estado peruano tuvo una respuesta negativa</w:t>
      </w:r>
      <w:r w:rsidR="00E33152" w:rsidRPr="000430DB">
        <w:rPr>
          <w:rFonts w:ascii="PT Serif" w:hAnsi="PT Serif" w:cs="Times New Roman"/>
          <w:sz w:val="24"/>
          <w:szCs w:val="24"/>
        </w:rPr>
        <w:t xml:space="preserve"> </w:t>
      </w:r>
      <w:r w:rsidR="00573EE3" w:rsidRPr="000430DB">
        <w:rPr>
          <w:rFonts w:ascii="PT Serif" w:hAnsi="PT Serif" w:cs="Times New Roman"/>
          <w:sz w:val="24"/>
          <w:szCs w:val="24"/>
        </w:rPr>
        <w:t xml:space="preserve">ante los mandamientos dictados por </w:t>
      </w:r>
      <w:r w:rsidR="0023440D" w:rsidRPr="000430DB">
        <w:rPr>
          <w:rFonts w:ascii="PT Serif" w:hAnsi="PT Serif" w:cs="Times New Roman"/>
          <w:sz w:val="24"/>
          <w:szCs w:val="24"/>
        </w:rPr>
        <w:t xml:space="preserve">el Tribunal Interamericano </w:t>
      </w:r>
      <w:r w:rsidR="00573EE3" w:rsidRPr="000430DB">
        <w:rPr>
          <w:rFonts w:ascii="PT Serif" w:hAnsi="PT Serif" w:cs="Times New Roman"/>
          <w:sz w:val="24"/>
          <w:szCs w:val="24"/>
        </w:rPr>
        <w:t xml:space="preserve">pues Alberto Fujimori siguió en libertad hasta su fallecimiento el 11 de septiembre de 2024. </w:t>
      </w:r>
    </w:p>
    <w:p w14:paraId="54732B40" w14:textId="60859720" w:rsidR="00E75F13" w:rsidRDefault="00B25C8A" w:rsidP="00E75F13">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Lo expuesto evidenci</w:t>
      </w:r>
      <w:r w:rsidR="00BE611C" w:rsidRPr="000430DB">
        <w:rPr>
          <w:rFonts w:ascii="PT Serif" w:hAnsi="PT Serif" w:cs="Times New Roman"/>
          <w:sz w:val="24"/>
          <w:szCs w:val="24"/>
        </w:rPr>
        <w:t>ó</w:t>
      </w:r>
      <w:r w:rsidRPr="000430DB">
        <w:rPr>
          <w:rFonts w:ascii="PT Serif" w:hAnsi="PT Serif" w:cs="Times New Roman"/>
          <w:sz w:val="24"/>
          <w:szCs w:val="24"/>
        </w:rPr>
        <w:t xml:space="preserve"> un incumplimiento de las obligaciones derivadas de la suscripción a la </w:t>
      </w:r>
      <w:r w:rsidR="00351F97" w:rsidRPr="000430DB">
        <w:rPr>
          <w:rFonts w:ascii="PT Serif" w:hAnsi="PT Serif" w:cs="Times New Roman"/>
          <w:sz w:val="24"/>
          <w:szCs w:val="24"/>
        </w:rPr>
        <w:t>CADH</w:t>
      </w:r>
      <w:r w:rsidRPr="000430DB">
        <w:rPr>
          <w:rFonts w:ascii="PT Serif" w:hAnsi="PT Serif" w:cs="Times New Roman"/>
          <w:sz w:val="24"/>
          <w:szCs w:val="24"/>
        </w:rPr>
        <w:t xml:space="preserve"> y del reconocimiento de la competencia contenciosa de la CoIDH. La justificación del expresidente Pedro Pablo Kuczynski (PPK) para conceder un indulto en aras de la “reconciliación” resulta insostenible, ya que, dentro de las interpretaciones sobre las obligaciones que asumen los Estados al firmar y ratificar un tratado internacional en materia de derechos humanos, existen principios que prohíben condicionar el cumplimiento de las responsabilidades internacionales </w:t>
      </w:r>
      <w:r w:rsidR="003B2C61" w:rsidRPr="000430DB">
        <w:rPr>
          <w:rFonts w:ascii="PT Serif" w:hAnsi="PT Serif" w:cs="Times New Roman"/>
          <w:sz w:val="24"/>
          <w:szCs w:val="24"/>
        </w:rPr>
        <w:t>por</w:t>
      </w:r>
      <w:r w:rsidRPr="000430DB">
        <w:rPr>
          <w:rFonts w:ascii="PT Serif" w:hAnsi="PT Serif" w:cs="Times New Roman"/>
          <w:sz w:val="24"/>
          <w:szCs w:val="24"/>
        </w:rPr>
        <w:t xml:space="preserve"> medidas de reconciliación que favorezcan la impunidad</w:t>
      </w:r>
      <w:r w:rsidR="007E06AB">
        <w:rPr>
          <w:rStyle w:val="Refdenotaalpie"/>
          <w:rFonts w:ascii="PT Serif" w:hAnsi="PT Serif" w:cs="Times New Roman"/>
          <w:sz w:val="24"/>
          <w:szCs w:val="24"/>
        </w:rPr>
        <w:footnoteReference w:id="12"/>
      </w:r>
      <w:r w:rsidR="00183FE3" w:rsidRPr="000430DB">
        <w:rPr>
          <w:rFonts w:ascii="PT Serif" w:hAnsi="PT Serif" w:cs="Times New Roman"/>
          <w:sz w:val="24"/>
          <w:szCs w:val="24"/>
        </w:rPr>
        <w:t xml:space="preserve"> (Herencia, 2018</w:t>
      </w:r>
      <w:r w:rsidR="009E56B5" w:rsidRPr="000430DB">
        <w:rPr>
          <w:rFonts w:ascii="PT Serif" w:hAnsi="PT Serif" w:cs="Times New Roman"/>
          <w:sz w:val="24"/>
          <w:szCs w:val="24"/>
        </w:rPr>
        <w:t xml:space="preserve">, </w:t>
      </w:r>
      <w:r w:rsidR="00183FE3" w:rsidRPr="000430DB">
        <w:rPr>
          <w:rFonts w:ascii="PT Serif" w:hAnsi="PT Serif" w:cs="Times New Roman"/>
          <w:sz w:val="24"/>
          <w:szCs w:val="24"/>
        </w:rPr>
        <w:t>p. 143)</w:t>
      </w:r>
      <w:r w:rsidRPr="000430DB">
        <w:rPr>
          <w:rFonts w:ascii="PT Serif" w:hAnsi="PT Serif" w:cs="Times New Roman"/>
          <w:sz w:val="24"/>
          <w:szCs w:val="24"/>
        </w:rPr>
        <w:t>.</w:t>
      </w:r>
      <w:r w:rsidR="00E75F13">
        <w:rPr>
          <w:rFonts w:ascii="PT Serif" w:hAnsi="PT Serif" w:cs="Times New Roman"/>
          <w:sz w:val="24"/>
          <w:szCs w:val="24"/>
        </w:rPr>
        <w:t xml:space="preserve"> Sumado a que el actuar del Tribunal Constitucional reflejó una falta de preocupación por el cumplimiento de los mandamientos internacionales, favoreciendo una </w:t>
      </w:r>
      <w:r w:rsidR="00CD3D6B">
        <w:rPr>
          <w:rFonts w:ascii="PT Serif" w:hAnsi="PT Serif" w:cs="Times New Roman"/>
          <w:sz w:val="24"/>
          <w:szCs w:val="24"/>
        </w:rPr>
        <w:t xml:space="preserve">ausencia </w:t>
      </w:r>
      <w:r w:rsidRPr="000430DB">
        <w:rPr>
          <w:rFonts w:ascii="PT Serif" w:hAnsi="PT Serif" w:cs="Times New Roman"/>
          <w:sz w:val="24"/>
          <w:szCs w:val="24"/>
        </w:rPr>
        <w:t>de diálogo entre los jueces nacionales y las autoridades internacionales</w:t>
      </w:r>
      <w:r w:rsidR="00183FE3" w:rsidRPr="000430DB">
        <w:rPr>
          <w:rFonts w:ascii="PT Serif" w:hAnsi="PT Serif" w:cs="Times New Roman"/>
          <w:sz w:val="24"/>
          <w:szCs w:val="24"/>
        </w:rPr>
        <w:t xml:space="preserve"> (Serranò, 2022, p. 111)</w:t>
      </w:r>
      <w:r w:rsidRPr="000430DB">
        <w:rPr>
          <w:rFonts w:ascii="PT Serif" w:hAnsi="PT Serif" w:cs="Times New Roman"/>
          <w:sz w:val="24"/>
          <w:szCs w:val="24"/>
        </w:rPr>
        <w:t xml:space="preserve">. </w:t>
      </w:r>
    </w:p>
    <w:p w14:paraId="7FEE615B" w14:textId="7733F172" w:rsidR="006D517B" w:rsidRDefault="0065328B" w:rsidP="00E75F13">
      <w:pPr>
        <w:spacing w:line="360" w:lineRule="auto"/>
        <w:ind w:firstLine="720"/>
        <w:jc w:val="both"/>
        <w:rPr>
          <w:rFonts w:ascii="PT Serif" w:hAnsi="PT Serif" w:cs="Times New Roman"/>
          <w:sz w:val="24"/>
          <w:szCs w:val="24"/>
        </w:rPr>
      </w:pPr>
      <w:r>
        <w:rPr>
          <w:rFonts w:ascii="PT Serif" w:hAnsi="PT Serif" w:cs="Times New Roman"/>
          <w:sz w:val="24"/>
          <w:szCs w:val="24"/>
        </w:rPr>
        <w:lastRenderedPageBreak/>
        <w:t>E</w:t>
      </w:r>
      <w:r w:rsidR="00E75F13">
        <w:rPr>
          <w:rFonts w:ascii="PT Serif" w:hAnsi="PT Serif" w:cs="Times New Roman"/>
          <w:sz w:val="24"/>
          <w:szCs w:val="24"/>
        </w:rPr>
        <w:t xml:space="preserve">sto no queda solamente aquí, la intensificación de esta </w:t>
      </w:r>
      <w:r w:rsidR="00A34752" w:rsidRPr="00A34752">
        <w:rPr>
          <w:rFonts w:ascii="PT Serif" w:hAnsi="PT Serif" w:cs="Times New Roman"/>
          <w:sz w:val="24"/>
          <w:szCs w:val="24"/>
        </w:rPr>
        <w:t>desidia</w:t>
      </w:r>
      <w:r w:rsidR="00A34752">
        <w:rPr>
          <w:rFonts w:ascii="PT Serif" w:hAnsi="PT Serif" w:cs="Times New Roman"/>
          <w:sz w:val="24"/>
          <w:szCs w:val="24"/>
        </w:rPr>
        <w:t xml:space="preserve"> </w:t>
      </w:r>
      <w:r w:rsidR="00E75F13">
        <w:rPr>
          <w:rFonts w:ascii="PT Serif" w:hAnsi="PT Serif" w:cs="Times New Roman"/>
          <w:sz w:val="24"/>
          <w:szCs w:val="24"/>
        </w:rPr>
        <w:t xml:space="preserve">se extiende a la actualidad con la aprobación de la </w:t>
      </w:r>
      <w:r w:rsidR="00E75F13" w:rsidRPr="00E75F13">
        <w:rPr>
          <w:rFonts w:ascii="PT Serif" w:hAnsi="PT Serif" w:cs="Times New Roman"/>
          <w:sz w:val="24"/>
          <w:szCs w:val="24"/>
        </w:rPr>
        <w:t>Ley N.º 6951/2023-CR</w:t>
      </w:r>
      <w:r w:rsidR="00E75F13">
        <w:rPr>
          <w:rFonts w:ascii="PT Serif" w:hAnsi="PT Serif" w:cs="Times New Roman"/>
          <w:sz w:val="24"/>
          <w:szCs w:val="24"/>
        </w:rPr>
        <w:t xml:space="preserve"> q</w:t>
      </w:r>
      <w:r w:rsidR="00E75F13" w:rsidRPr="00E75F13">
        <w:rPr>
          <w:rFonts w:ascii="PT Serif" w:hAnsi="PT Serif" w:cs="Times New Roman"/>
          <w:sz w:val="24"/>
          <w:szCs w:val="24"/>
        </w:rPr>
        <w:t>ue dispone la prescripción de los crímenes de lesa humanidad perpetrados en el Perú</w:t>
      </w:r>
      <w:r w:rsidR="00E75F13">
        <w:rPr>
          <w:rFonts w:ascii="PT Serif" w:hAnsi="PT Serif" w:cs="Times New Roman"/>
          <w:sz w:val="24"/>
          <w:szCs w:val="24"/>
        </w:rPr>
        <w:t xml:space="preserve"> </w:t>
      </w:r>
      <w:r w:rsidR="00B25CA6">
        <w:rPr>
          <w:rFonts w:ascii="PT Serif" w:hAnsi="PT Serif" w:cs="Times New Roman"/>
          <w:sz w:val="24"/>
          <w:szCs w:val="24"/>
        </w:rPr>
        <w:t xml:space="preserve">pese a que previamente la CoIDH había requerido al Estado dejar sin efecto dicho proyecto de ley por perpetrar el derecho de acceso a la justicia de las víctimas (CoIDH, 2024, p. 31). </w:t>
      </w:r>
    </w:p>
    <w:p w14:paraId="4EF0F3C1" w14:textId="39CC3190" w:rsidR="00B25CA6" w:rsidRPr="000430DB" w:rsidRDefault="00A34752" w:rsidP="00E75F13">
      <w:pPr>
        <w:spacing w:line="360" w:lineRule="auto"/>
        <w:ind w:firstLine="720"/>
        <w:jc w:val="both"/>
        <w:rPr>
          <w:rFonts w:ascii="PT Serif" w:hAnsi="PT Serif" w:cs="Times New Roman"/>
          <w:sz w:val="24"/>
          <w:szCs w:val="24"/>
        </w:rPr>
      </w:pPr>
      <w:r>
        <w:rPr>
          <w:rFonts w:ascii="PT Serif" w:hAnsi="PT Serif" w:cs="Times New Roman"/>
          <w:sz w:val="24"/>
          <w:szCs w:val="24"/>
        </w:rPr>
        <w:t>E</w:t>
      </w:r>
      <w:r w:rsidR="0027652A">
        <w:rPr>
          <w:rFonts w:ascii="PT Serif" w:hAnsi="PT Serif" w:cs="Times New Roman"/>
          <w:sz w:val="24"/>
          <w:szCs w:val="24"/>
        </w:rPr>
        <w:t xml:space="preserve">l </w:t>
      </w:r>
      <w:r w:rsidR="00B25CA6" w:rsidRPr="00B25CA6">
        <w:rPr>
          <w:rFonts w:ascii="PT Serif" w:hAnsi="PT Serif" w:cs="Times New Roman"/>
          <w:sz w:val="24"/>
          <w:szCs w:val="24"/>
        </w:rPr>
        <w:t xml:space="preserve">Estado, arquitecto de su propio destino, ha erosionado los cimientos de la justicia que prometió sostener. Al reconocer la CADH y la CoIDH, juró construir un refugio para la verdad, pero con el indulto disfrazado de “reconciliación” y la aprobación de la Ley N.º 6951/2023-CR, ha dejado que la impunidad lo consuma. La falta de diálogo con la justicia internacional no es un descuido, sino un acto deliberado de </w:t>
      </w:r>
      <w:r w:rsidR="0068296D">
        <w:rPr>
          <w:rFonts w:ascii="PT Serif" w:hAnsi="PT Serif" w:cs="Times New Roman"/>
          <w:sz w:val="24"/>
          <w:szCs w:val="24"/>
        </w:rPr>
        <w:t>indolencia</w:t>
      </w:r>
      <w:r>
        <w:rPr>
          <w:rFonts w:ascii="PT Serif" w:hAnsi="PT Serif" w:cs="Times New Roman"/>
          <w:sz w:val="24"/>
          <w:szCs w:val="24"/>
        </w:rPr>
        <w:t xml:space="preserve">. </w:t>
      </w:r>
    </w:p>
    <w:p w14:paraId="1F720490" w14:textId="23979D55" w:rsidR="00887B51" w:rsidRPr="000430DB" w:rsidRDefault="00BA656C"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Con base en lo expuesto, ya no se trata únicamente de una desatención parcial a las sentencias y sus medidas reparatorias, sino de la acumulación de factores que generan un “eco vacío”, donde las resoluciones</w:t>
      </w:r>
      <w:r w:rsidR="0027652A">
        <w:rPr>
          <w:rFonts w:ascii="PT Serif" w:hAnsi="PT Serif" w:cs="Times New Roman"/>
          <w:sz w:val="24"/>
          <w:szCs w:val="24"/>
        </w:rPr>
        <w:t xml:space="preserve">, como se </w:t>
      </w:r>
      <w:r w:rsidR="003F3796">
        <w:rPr>
          <w:rFonts w:ascii="PT Serif" w:hAnsi="PT Serif" w:cs="Times New Roman"/>
          <w:sz w:val="24"/>
          <w:szCs w:val="24"/>
        </w:rPr>
        <w:t xml:space="preserve">ha </w:t>
      </w:r>
      <w:r w:rsidR="0027652A">
        <w:rPr>
          <w:rFonts w:ascii="PT Serif" w:hAnsi="PT Serif" w:cs="Times New Roman"/>
          <w:sz w:val="24"/>
          <w:szCs w:val="24"/>
        </w:rPr>
        <w:t>inferido,</w:t>
      </w:r>
      <w:r w:rsidRPr="000430DB">
        <w:rPr>
          <w:rFonts w:ascii="PT Serif" w:hAnsi="PT Serif" w:cs="Times New Roman"/>
          <w:sz w:val="24"/>
          <w:szCs w:val="24"/>
        </w:rPr>
        <w:t xml:space="preserve"> parecen resonar sin respuesta en un diálogo cada vez más unilateral.</w:t>
      </w:r>
    </w:p>
    <w:p w14:paraId="419544A1" w14:textId="4F0D40DB" w:rsidR="00887B51" w:rsidRPr="000430DB" w:rsidRDefault="00BA656C" w:rsidP="00887B51">
      <w:pPr>
        <w:spacing w:line="360" w:lineRule="auto"/>
        <w:ind w:firstLine="720"/>
        <w:jc w:val="both"/>
        <w:rPr>
          <w:rFonts w:ascii="PT Serif" w:hAnsi="PT Serif" w:cs="Times New Roman"/>
          <w:sz w:val="24"/>
          <w:szCs w:val="24"/>
        </w:rPr>
      </w:pPr>
      <w:r w:rsidRPr="00C148C4">
        <w:rPr>
          <w:rFonts w:ascii="PT Serif" w:hAnsi="PT Serif" w:cs="Times New Roman"/>
          <w:sz w:val="24"/>
          <w:szCs w:val="24"/>
        </w:rPr>
        <w:t>¿Qué papel juega verdaderamente la CoIDH con sus pronunciamientos en este tipo de asuntos?  No ha existido una</w:t>
      </w:r>
      <w:r w:rsidRPr="000430DB">
        <w:rPr>
          <w:rFonts w:ascii="PT Serif" w:hAnsi="PT Serif" w:cs="Times New Roman"/>
          <w:sz w:val="24"/>
          <w:szCs w:val="24"/>
        </w:rPr>
        <w:t xml:space="preserve"> atención formal y rigurosa a la actividad internacional dentro del ámbito estatal peruano. Esta omisión no se limita únicamente a los hechos del caso La Cantuta que</w:t>
      </w:r>
      <w:r w:rsidR="00D70B7E" w:rsidRPr="000430DB">
        <w:rPr>
          <w:rFonts w:ascii="PT Serif" w:hAnsi="PT Serif" w:cs="Times New Roman"/>
          <w:sz w:val="24"/>
          <w:szCs w:val="24"/>
        </w:rPr>
        <w:t xml:space="preserve">, </w:t>
      </w:r>
      <w:r w:rsidRPr="000430DB">
        <w:rPr>
          <w:rFonts w:ascii="PT Serif" w:hAnsi="PT Serif" w:cs="Times New Roman"/>
          <w:sz w:val="24"/>
          <w:szCs w:val="24"/>
        </w:rPr>
        <w:t>como se ha señalado</w:t>
      </w:r>
      <w:r w:rsidR="00D70B7E" w:rsidRPr="000430DB">
        <w:rPr>
          <w:rFonts w:ascii="PT Serif" w:hAnsi="PT Serif" w:cs="Times New Roman"/>
          <w:sz w:val="24"/>
          <w:szCs w:val="24"/>
        </w:rPr>
        <w:t xml:space="preserve">, </w:t>
      </w:r>
      <w:r w:rsidRPr="000430DB">
        <w:rPr>
          <w:rFonts w:ascii="PT Serif" w:hAnsi="PT Serif" w:cs="Times New Roman"/>
          <w:sz w:val="24"/>
          <w:szCs w:val="24"/>
        </w:rPr>
        <w:t>es s</w:t>
      </w:r>
      <w:r w:rsidR="006B7AED">
        <w:rPr>
          <w:rFonts w:ascii="PT Serif" w:hAnsi="PT Serif" w:cs="Times New Roman"/>
          <w:sz w:val="24"/>
          <w:szCs w:val="24"/>
        </w:rPr>
        <w:t>ó</w:t>
      </w:r>
      <w:r w:rsidRPr="000430DB">
        <w:rPr>
          <w:rFonts w:ascii="PT Serif" w:hAnsi="PT Serif" w:cs="Times New Roman"/>
          <w:sz w:val="24"/>
          <w:szCs w:val="24"/>
        </w:rPr>
        <w:t>lo un ejemplo representativo de una tendencia más amplia en el incumplimiento de las obligaciones internacionales. No estamos ante un caso aislado ni excepcional, sino frente a un patrón sistemático de indiferencia hacia el marco interamericano, evidenciado en múltiples resoluciones que han sido ignoradas o minimizadas.</w:t>
      </w:r>
    </w:p>
    <w:p w14:paraId="5560B8F2" w14:textId="666B6883" w:rsidR="009C6ADF" w:rsidRPr="000430DB" w:rsidRDefault="009C6ADF"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lastRenderedPageBreak/>
        <w:t xml:space="preserve">Véase que dentro de la última supervisión de cumplimiento al caso Castillo Páez, la CoIDH estableció que el Estado peruano no mandó los informes estatales sobre el cumplimiento de las medidas reparatorias en tres ocasiones: </w:t>
      </w:r>
    </w:p>
    <w:p w14:paraId="311254EB" w14:textId="48B3E658" w:rsidR="00887B51" w:rsidRPr="000430DB" w:rsidRDefault="00887B51" w:rsidP="007B0ED6">
      <w:pPr>
        <w:spacing w:line="360" w:lineRule="auto"/>
        <w:ind w:left="720"/>
        <w:jc w:val="both"/>
        <w:rPr>
          <w:rFonts w:ascii="PT Serif" w:hAnsi="PT Serif" w:cs="Times New Roman"/>
          <w:sz w:val="24"/>
          <w:szCs w:val="24"/>
        </w:rPr>
      </w:pPr>
      <w:r w:rsidRPr="000430DB">
        <w:rPr>
          <w:rFonts w:ascii="PT Serif" w:hAnsi="PT Serif" w:cs="Times New Roman"/>
          <w:sz w:val="24"/>
          <w:szCs w:val="24"/>
        </w:rPr>
        <w:t>Las notas de la Secretaría de 15 de febrero y 24 de mayo de 2012, mediante las cuales, luego de vencido el plazo otorgado al Estado, se solicitó al Perú la remisión de un informe estatal a la mayor brevedad, y la nota de la Secretaría de 8 de abril de 2013, mediante la cual se reiteró al Perú la remisión de un informe estatal, a más tardar el 10 de junio de 2013. Finalmente, la nota de la Secretaría 20 de agosto de 2013, mediante la cual, entre otros, se solicitó nuevamente al Estado la remisión de un informe estatal a más tardar el 21 de octubre de 2013. El Estado no presentó la información solicitada</w:t>
      </w:r>
      <w:r w:rsidR="00C148C4">
        <w:rPr>
          <w:rFonts w:ascii="PT Serif" w:hAnsi="PT Serif" w:cs="Times New Roman"/>
          <w:sz w:val="24"/>
          <w:szCs w:val="24"/>
        </w:rPr>
        <w:t>.</w:t>
      </w:r>
      <w:r w:rsidRPr="000430DB">
        <w:rPr>
          <w:rFonts w:ascii="PT Serif" w:hAnsi="PT Serif" w:cs="Times New Roman"/>
          <w:sz w:val="24"/>
          <w:szCs w:val="24"/>
        </w:rPr>
        <w:t xml:space="preserve"> (CoIDH, 2013, p. 2)</w:t>
      </w:r>
    </w:p>
    <w:p w14:paraId="100771D6" w14:textId="77777777" w:rsidR="00887B51" w:rsidRPr="000430DB" w:rsidRDefault="00BA656C"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Por cuanto hace</w:t>
      </w:r>
      <w:r w:rsidR="00FB3848" w:rsidRPr="000430DB">
        <w:rPr>
          <w:rFonts w:ascii="PT Serif" w:hAnsi="PT Serif" w:cs="Times New Roman"/>
          <w:sz w:val="24"/>
          <w:szCs w:val="24"/>
        </w:rPr>
        <w:t xml:space="preserve"> </w:t>
      </w:r>
      <w:r w:rsidRPr="000430DB">
        <w:rPr>
          <w:rFonts w:ascii="PT Serif" w:hAnsi="PT Serif" w:cs="Times New Roman"/>
          <w:sz w:val="24"/>
          <w:szCs w:val="24"/>
        </w:rPr>
        <w:t>a</w:t>
      </w:r>
      <w:r w:rsidR="00FB3848" w:rsidRPr="000430DB">
        <w:rPr>
          <w:rFonts w:ascii="PT Serif" w:hAnsi="PT Serif" w:cs="Times New Roman"/>
          <w:sz w:val="24"/>
          <w:szCs w:val="24"/>
        </w:rPr>
        <w:t>l Caso Gómez Palomino</w:t>
      </w:r>
      <w:r w:rsidRPr="000430DB">
        <w:rPr>
          <w:rFonts w:ascii="PT Serif" w:hAnsi="PT Serif" w:cs="Times New Roman"/>
          <w:sz w:val="24"/>
          <w:szCs w:val="24"/>
        </w:rPr>
        <w:t xml:space="preserve">, sus </w:t>
      </w:r>
      <w:r w:rsidR="00FB3848" w:rsidRPr="000430DB">
        <w:rPr>
          <w:rFonts w:ascii="PT Serif" w:hAnsi="PT Serif" w:cs="Times New Roman"/>
          <w:sz w:val="24"/>
          <w:szCs w:val="24"/>
        </w:rPr>
        <w:t>medidas reparatorias</w:t>
      </w:r>
      <w:r w:rsidRPr="000430DB">
        <w:rPr>
          <w:rFonts w:ascii="PT Serif" w:hAnsi="PT Serif" w:cs="Times New Roman"/>
          <w:sz w:val="24"/>
          <w:szCs w:val="24"/>
        </w:rPr>
        <w:t>,</w:t>
      </w:r>
      <w:r w:rsidR="00FB3848" w:rsidRPr="000430DB">
        <w:rPr>
          <w:rFonts w:ascii="PT Serif" w:hAnsi="PT Serif" w:cs="Times New Roman"/>
          <w:sz w:val="24"/>
          <w:szCs w:val="24"/>
        </w:rPr>
        <w:t xml:space="preserve"> fenecían como la forma para confrontar la ola de desaparecidos durante el periodo de 1980 y 2000</w:t>
      </w:r>
      <w:r w:rsidR="00E13927" w:rsidRPr="000430DB">
        <w:rPr>
          <w:rFonts w:ascii="PT Serif" w:hAnsi="PT Serif" w:cs="Times New Roman"/>
          <w:sz w:val="24"/>
          <w:szCs w:val="24"/>
        </w:rPr>
        <w:t xml:space="preserve"> al establecerse </w:t>
      </w:r>
      <w:r w:rsidR="00FB3848" w:rsidRPr="000430DB">
        <w:rPr>
          <w:rFonts w:ascii="PT Serif" w:hAnsi="PT Serif" w:cs="Times New Roman"/>
          <w:sz w:val="24"/>
          <w:szCs w:val="24"/>
        </w:rPr>
        <w:t>la obligación de reformar el artículo 320 del Código Penal peruano en la medida de que el mismo exigía que el delito</w:t>
      </w:r>
      <w:r w:rsidR="00C302BF" w:rsidRPr="000430DB">
        <w:rPr>
          <w:rFonts w:ascii="PT Serif" w:hAnsi="PT Serif" w:cs="Times New Roman"/>
          <w:sz w:val="24"/>
          <w:szCs w:val="24"/>
        </w:rPr>
        <w:t xml:space="preserve"> de desaparición forzada</w:t>
      </w:r>
      <w:r w:rsidR="00FB3848" w:rsidRPr="000430DB">
        <w:rPr>
          <w:rFonts w:ascii="PT Serif" w:hAnsi="PT Serif" w:cs="Times New Roman"/>
          <w:sz w:val="24"/>
          <w:szCs w:val="24"/>
        </w:rPr>
        <w:t xml:space="preserve"> estuviese “debidamente comprobado” y solamente consideraba como sujeto activo al funcionario público y no a los particulares que actuaban con aquiescencia del Estado, </w:t>
      </w:r>
      <w:r w:rsidR="00C47C4D" w:rsidRPr="000430DB">
        <w:rPr>
          <w:rFonts w:ascii="PT Serif" w:hAnsi="PT Serif" w:cs="Times New Roman"/>
          <w:sz w:val="24"/>
          <w:szCs w:val="24"/>
        </w:rPr>
        <w:t>previsiones</w:t>
      </w:r>
      <w:r w:rsidR="00FB3848" w:rsidRPr="000430DB">
        <w:rPr>
          <w:rFonts w:ascii="PT Serif" w:hAnsi="PT Serif" w:cs="Times New Roman"/>
          <w:sz w:val="24"/>
          <w:szCs w:val="24"/>
        </w:rPr>
        <w:t xml:space="preserve"> que contravenían el artículo segundo de la CADH</w:t>
      </w:r>
      <w:r w:rsidR="00183FE3" w:rsidRPr="000430DB">
        <w:rPr>
          <w:rFonts w:ascii="PT Serif" w:hAnsi="PT Serif" w:cs="Times New Roman"/>
          <w:sz w:val="24"/>
          <w:szCs w:val="24"/>
        </w:rPr>
        <w:t xml:space="preserve"> (CoIDH, 2005, p. 34)</w:t>
      </w:r>
      <w:r w:rsidR="00FB3848" w:rsidRPr="000430DB">
        <w:rPr>
          <w:rFonts w:ascii="PT Serif" w:hAnsi="PT Serif" w:cs="Times New Roman"/>
          <w:sz w:val="24"/>
          <w:szCs w:val="24"/>
        </w:rPr>
        <w:t>.</w:t>
      </w:r>
    </w:p>
    <w:p w14:paraId="56CEC43A" w14:textId="4D0A4F06" w:rsidR="00887B51" w:rsidRDefault="00FB3848"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La sentencia fue emitida durante </w:t>
      </w:r>
      <w:r w:rsidR="00A5266B" w:rsidRPr="000430DB">
        <w:rPr>
          <w:rFonts w:ascii="PT Serif" w:hAnsi="PT Serif" w:cs="Times New Roman"/>
          <w:sz w:val="24"/>
          <w:szCs w:val="24"/>
        </w:rPr>
        <w:t>el</w:t>
      </w:r>
      <w:r w:rsidRPr="000430DB">
        <w:rPr>
          <w:rFonts w:ascii="PT Serif" w:hAnsi="PT Serif" w:cs="Times New Roman"/>
          <w:sz w:val="24"/>
          <w:szCs w:val="24"/>
        </w:rPr>
        <w:t xml:space="preserve"> año de 2005</w:t>
      </w:r>
      <w:r w:rsidR="00A5266B" w:rsidRPr="000430DB">
        <w:rPr>
          <w:rFonts w:ascii="PT Serif" w:hAnsi="PT Serif" w:cs="Times New Roman"/>
          <w:sz w:val="24"/>
          <w:szCs w:val="24"/>
        </w:rPr>
        <w:t>, sin embargo, tal como lo refiere la abogada Cano</w:t>
      </w:r>
      <w:r w:rsidR="001673CE">
        <w:rPr>
          <w:rFonts w:ascii="PT Serif" w:hAnsi="PT Serif" w:cs="Times New Roman"/>
          <w:sz w:val="24"/>
          <w:szCs w:val="24"/>
        </w:rPr>
        <w:t xml:space="preserve"> (2020)</w:t>
      </w:r>
      <w:r w:rsidR="00A5266B" w:rsidRPr="000430DB">
        <w:rPr>
          <w:rFonts w:ascii="PT Serif" w:hAnsi="PT Serif" w:cs="Times New Roman"/>
          <w:sz w:val="24"/>
          <w:szCs w:val="24"/>
        </w:rPr>
        <w:t xml:space="preserve">, tuvieron que pasar casi doce años desde la emisión de la sentencia y varias resoluciones de supervisión de cumplimiento para que el Estado peruano cumpliese completamente </w:t>
      </w:r>
      <w:r w:rsidR="008C1B45" w:rsidRPr="000430DB">
        <w:rPr>
          <w:rFonts w:ascii="PT Serif" w:hAnsi="PT Serif" w:cs="Times New Roman"/>
          <w:sz w:val="24"/>
          <w:szCs w:val="24"/>
        </w:rPr>
        <w:t>la</w:t>
      </w:r>
      <w:r w:rsidR="00A5266B" w:rsidRPr="000430DB">
        <w:rPr>
          <w:rFonts w:ascii="PT Serif" w:hAnsi="PT Serif" w:cs="Times New Roman"/>
          <w:sz w:val="24"/>
          <w:szCs w:val="24"/>
        </w:rPr>
        <w:t xml:space="preserve"> orden</w:t>
      </w:r>
      <w:r w:rsidR="00C302BF" w:rsidRPr="000430DB">
        <w:rPr>
          <w:rFonts w:ascii="PT Serif" w:hAnsi="PT Serif" w:cs="Times New Roman"/>
          <w:sz w:val="24"/>
          <w:szCs w:val="24"/>
        </w:rPr>
        <w:t xml:space="preserve"> de reforma</w:t>
      </w:r>
      <w:r w:rsidR="00A5266B" w:rsidRPr="000430DB">
        <w:rPr>
          <w:rFonts w:ascii="PT Serif" w:hAnsi="PT Serif" w:cs="Times New Roman"/>
          <w:sz w:val="24"/>
          <w:szCs w:val="24"/>
        </w:rPr>
        <w:t>.  Fue en enero de 2017 que se modificó la legislación en los términos exigidos por la convencionalidad</w:t>
      </w:r>
      <w:r w:rsidR="00F1718A" w:rsidRPr="000430DB">
        <w:rPr>
          <w:rFonts w:ascii="PT Serif" w:hAnsi="PT Serif" w:cs="Times New Roman"/>
          <w:sz w:val="24"/>
          <w:szCs w:val="24"/>
        </w:rPr>
        <w:t xml:space="preserve"> (p. 476)</w:t>
      </w:r>
      <w:r w:rsidR="00A5266B" w:rsidRPr="000430DB">
        <w:rPr>
          <w:rFonts w:ascii="PT Serif" w:hAnsi="PT Serif" w:cs="Times New Roman"/>
          <w:sz w:val="24"/>
          <w:szCs w:val="24"/>
        </w:rPr>
        <w:t xml:space="preserve">. </w:t>
      </w:r>
    </w:p>
    <w:p w14:paraId="65A4873C" w14:textId="5B6C0325" w:rsidR="004253E5" w:rsidRDefault="004253E5" w:rsidP="00887B51">
      <w:pPr>
        <w:spacing w:line="360" w:lineRule="auto"/>
        <w:ind w:firstLine="720"/>
        <w:jc w:val="both"/>
        <w:rPr>
          <w:rFonts w:ascii="PT Serif" w:hAnsi="PT Serif" w:cs="Times New Roman"/>
          <w:sz w:val="24"/>
          <w:szCs w:val="24"/>
        </w:rPr>
      </w:pPr>
      <w:r w:rsidRPr="004253E5">
        <w:rPr>
          <w:rFonts w:ascii="PT Serif" w:hAnsi="PT Serif" w:cs="Times New Roman"/>
          <w:sz w:val="24"/>
          <w:szCs w:val="24"/>
        </w:rPr>
        <w:lastRenderedPageBreak/>
        <w:t xml:space="preserve">En la </w:t>
      </w:r>
      <w:r w:rsidR="00302629">
        <w:rPr>
          <w:rFonts w:ascii="PT Serif" w:hAnsi="PT Serif" w:cs="Times New Roman"/>
          <w:sz w:val="24"/>
          <w:szCs w:val="24"/>
        </w:rPr>
        <w:t>resolución</w:t>
      </w:r>
      <w:r w:rsidRPr="004253E5">
        <w:rPr>
          <w:rFonts w:ascii="PT Serif" w:hAnsi="PT Serif" w:cs="Times New Roman"/>
          <w:sz w:val="24"/>
          <w:szCs w:val="24"/>
        </w:rPr>
        <w:t xml:space="preserve"> del caso Osorio Rivera, se evidenció la deficiencia en la investigación, el enjuiciamiento y la sanción, debido a que los tribunales responsables de ejecutar la medida reparatoria de investigación y castigo no s</w:t>
      </w:r>
      <w:r w:rsidR="00302629">
        <w:rPr>
          <w:rFonts w:ascii="PT Serif" w:hAnsi="PT Serif" w:cs="Times New Roman"/>
          <w:sz w:val="24"/>
          <w:szCs w:val="24"/>
        </w:rPr>
        <w:t>ó</w:t>
      </w:r>
      <w:r w:rsidRPr="004253E5">
        <w:rPr>
          <w:rFonts w:ascii="PT Serif" w:hAnsi="PT Serif" w:cs="Times New Roman"/>
          <w:sz w:val="24"/>
          <w:szCs w:val="24"/>
        </w:rPr>
        <w:t>lo dilataron la tramitación del asunto, sino que, a pesar de haberse desarrollado la indagación en tres etapas, solo se logró procesar a una persona, Tello Delgado, quien finalmente fue absuelto. Esto, en palabras de Castañeda (201</w:t>
      </w:r>
      <w:r w:rsidR="00DC57B3">
        <w:rPr>
          <w:rFonts w:ascii="PT Serif" w:hAnsi="PT Serif" w:cs="Times New Roman"/>
          <w:sz w:val="24"/>
          <w:szCs w:val="24"/>
        </w:rPr>
        <w:t>9</w:t>
      </w:r>
      <w:r w:rsidRPr="004253E5">
        <w:rPr>
          <w:rFonts w:ascii="PT Serif" w:hAnsi="PT Serif" w:cs="Times New Roman"/>
          <w:sz w:val="24"/>
          <w:szCs w:val="24"/>
        </w:rPr>
        <w:t>), demuestra una falta de debida diligencia y exhaustividad en el proceso</w:t>
      </w:r>
      <w:r>
        <w:rPr>
          <w:rFonts w:ascii="PT Serif" w:hAnsi="PT Serif" w:cs="Times New Roman"/>
          <w:sz w:val="24"/>
          <w:szCs w:val="24"/>
        </w:rPr>
        <w:t xml:space="preserve"> (p. 32). </w:t>
      </w:r>
    </w:p>
    <w:p w14:paraId="2C16E0A7" w14:textId="3FD4A84F" w:rsidR="00887B51" w:rsidRPr="000430DB" w:rsidRDefault="008C1B45"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En el caso Azulado Castro vs. Perú </w:t>
      </w:r>
      <w:r w:rsidR="006B7AED">
        <w:rPr>
          <w:rFonts w:ascii="PT Serif" w:hAnsi="PT Serif" w:cs="Times New Roman"/>
          <w:sz w:val="24"/>
          <w:szCs w:val="24"/>
        </w:rPr>
        <w:t>la suerte</w:t>
      </w:r>
      <w:r w:rsidR="00E13927" w:rsidRPr="000430DB">
        <w:rPr>
          <w:rFonts w:ascii="PT Serif" w:hAnsi="PT Serif" w:cs="Times New Roman"/>
          <w:sz w:val="24"/>
          <w:szCs w:val="24"/>
        </w:rPr>
        <w:t xml:space="preserve"> </w:t>
      </w:r>
      <w:r w:rsidRPr="000430DB">
        <w:rPr>
          <w:rFonts w:ascii="PT Serif" w:hAnsi="PT Serif" w:cs="Times New Roman"/>
          <w:sz w:val="24"/>
          <w:szCs w:val="24"/>
        </w:rPr>
        <w:t>de las víctimas tampoco</w:t>
      </w:r>
      <w:r w:rsidR="00474BC6">
        <w:rPr>
          <w:rFonts w:ascii="PT Serif" w:hAnsi="PT Serif" w:cs="Times New Roman"/>
          <w:sz w:val="24"/>
          <w:szCs w:val="24"/>
        </w:rPr>
        <w:t xml:space="preserve"> fue</w:t>
      </w:r>
      <w:r w:rsidRPr="000430DB">
        <w:rPr>
          <w:rFonts w:ascii="PT Serif" w:hAnsi="PT Serif" w:cs="Times New Roman"/>
          <w:sz w:val="24"/>
          <w:szCs w:val="24"/>
        </w:rPr>
        <w:t xml:space="preserve"> </w:t>
      </w:r>
      <w:r w:rsidR="00E13927" w:rsidRPr="000430DB">
        <w:rPr>
          <w:rFonts w:ascii="PT Serif" w:hAnsi="PT Serif" w:cs="Times New Roman"/>
          <w:sz w:val="24"/>
          <w:szCs w:val="24"/>
        </w:rPr>
        <w:t>buen</w:t>
      </w:r>
      <w:r w:rsidR="006B7AED">
        <w:rPr>
          <w:rFonts w:ascii="PT Serif" w:hAnsi="PT Serif" w:cs="Times New Roman"/>
          <w:sz w:val="24"/>
          <w:szCs w:val="24"/>
        </w:rPr>
        <w:t>a</w:t>
      </w:r>
      <w:r w:rsidRPr="000430DB">
        <w:rPr>
          <w:rFonts w:ascii="PT Serif" w:hAnsi="PT Serif" w:cs="Times New Roman"/>
          <w:sz w:val="24"/>
          <w:szCs w:val="24"/>
        </w:rPr>
        <w:t>. La publicación de la sentencia se dio el 22 de septiembre de 2009 y en la misma se señaló la obligación de presentar un informe sobre los avances del cumplimiento para el mes de octubre de</w:t>
      </w:r>
      <w:r w:rsidR="0073247D" w:rsidRPr="000430DB">
        <w:rPr>
          <w:rFonts w:ascii="PT Serif" w:hAnsi="PT Serif" w:cs="Times New Roman"/>
          <w:sz w:val="24"/>
          <w:szCs w:val="24"/>
        </w:rPr>
        <w:t>l</w:t>
      </w:r>
      <w:r w:rsidRPr="000430DB">
        <w:rPr>
          <w:rFonts w:ascii="PT Serif" w:hAnsi="PT Serif" w:cs="Times New Roman"/>
          <w:sz w:val="24"/>
          <w:szCs w:val="24"/>
        </w:rPr>
        <w:t xml:space="preserve"> 2010. El Estado no presentó información alguna </w:t>
      </w:r>
      <w:r w:rsidR="008C3A16" w:rsidRPr="000430DB">
        <w:rPr>
          <w:rFonts w:ascii="PT Serif" w:hAnsi="PT Serif" w:cs="Times New Roman"/>
          <w:sz w:val="24"/>
          <w:szCs w:val="24"/>
        </w:rPr>
        <w:t>al respecto en la fecha señalada, generando la persistencia de la no reparación del daño ocasionado</w:t>
      </w:r>
      <w:r w:rsidR="00C76E33" w:rsidRPr="000430DB">
        <w:rPr>
          <w:rFonts w:ascii="PT Serif" w:hAnsi="PT Serif" w:cs="Times New Roman"/>
          <w:sz w:val="24"/>
          <w:szCs w:val="24"/>
        </w:rPr>
        <w:t xml:space="preserve"> a</w:t>
      </w:r>
      <w:r w:rsidR="008C3A16" w:rsidRPr="000430DB">
        <w:rPr>
          <w:rFonts w:ascii="PT Serif" w:hAnsi="PT Serif" w:cs="Times New Roman"/>
          <w:sz w:val="24"/>
          <w:szCs w:val="24"/>
        </w:rPr>
        <w:t xml:space="preserve"> las víctimas y </w:t>
      </w:r>
      <w:r w:rsidRPr="000430DB">
        <w:rPr>
          <w:rFonts w:ascii="PT Serif" w:hAnsi="PT Serif" w:cs="Times New Roman"/>
          <w:sz w:val="24"/>
          <w:szCs w:val="24"/>
        </w:rPr>
        <w:t>dándose notas de grupos defensores de derechos humanos</w:t>
      </w:r>
      <w:r w:rsidR="00D70B7E" w:rsidRPr="000430DB">
        <w:rPr>
          <w:rFonts w:ascii="PT Serif" w:hAnsi="PT Serif" w:cs="Times New Roman"/>
          <w:sz w:val="24"/>
          <w:szCs w:val="24"/>
        </w:rPr>
        <w:t xml:space="preserve">, </w:t>
      </w:r>
      <w:r w:rsidR="00C76E33" w:rsidRPr="000430DB">
        <w:rPr>
          <w:rFonts w:ascii="PT Serif" w:hAnsi="PT Serif" w:cs="Times New Roman"/>
          <w:sz w:val="24"/>
          <w:szCs w:val="24"/>
        </w:rPr>
        <w:t>c</w:t>
      </w:r>
      <w:r w:rsidRPr="000430DB">
        <w:rPr>
          <w:rFonts w:ascii="PT Serif" w:hAnsi="PT Serif" w:cs="Times New Roman"/>
          <w:sz w:val="24"/>
          <w:szCs w:val="24"/>
        </w:rPr>
        <w:t>omo lo fue el Centro por la Justicia y el Derecho Internacional (CEJIL) en 2013</w:t>
      </w:r>
      <w:r w:rsidR="00D70B7E" w:rsidRPr="000430DB">
        <w:rPr>
          <w:rFonts w:ascii="PT Serif" w:hAnsi="PT Serif" w:cs="Times New Roman"/>
          <w:sz w:val="24"/>
          <w:szCs w:val="24"/>
        </w:rPr>
        <w:t xml:space="preserve">, </w:t>
      </w:r>
      <w:r w:rsidRPr="000430DB">
        <w:rPr>
          <w:rFonts w:ascii="PT Serif" w:hAnsi="PT Serif" w:cs="Times New Roman"/>
          <w:sz w:val="24"/>
          <w:szCs w:val="24"/>
        </w:rPr>
        <w:t>que aducían un cumplimiento nulo de las medidas pese a haber transcurrido más de 3 años desde la publicación de la sentencia</w:t>
      </w:r>
      <w:r w:rsidR="008C3A16" w:rsidRPr="000430DB">
        <w:rPr>
          <w:rFonts w:ascii="PT Serif" w:hAnsi="PT Serif" w:cs="Times New Roman"/>
          <w:sz w:val="24"/>
          <w:szCs w:val="24"/>
        </w:rPr>
        <w:t>; circunstancia que sigue parcialmente igual</w:t>
      </w:r>
      <w:r w:rsidR="003B0F3C" w:rsidRPr="000430DB">
        <w:rPr>
          <w:rFonts w:ascii="PT Serif" w:hAnsi="PT Serif" w:cs="Times New Roman"/>
          <w:sz w:val="24"/>
          <w:szCs w:val="24"/>
        </w:rPr>
        <w:t xml:space="preserve"> en la actualidad</w:t>
      </w:r>
      <w:r w:rsidR="008C3A16" w:rsidRPr="000430DB">
        <w:rPr>
          <w:rFonts w:ascii="PT Serif" w:hAnsi="PT Serif" w:cs="Times New Roman"/>
          <w:sz w:val="24"/>
          <w:szCs w:val="24"/>
        </w:rPr>
        <w:t xml:space="preserve">, </w:t>
      </w:r>
      <w:r w:rsidR="00EB5148" w:rsidRPr="000430DB">
        <w:rPr>
          <w:rFonts w:ascii="PT Serif" w:hAnsi="PT Serif" w:cs="Times New Roman"/>
          <w:sz w:val="24"/>
          <w:szCs w:val="24"/>
        </w:rPr>
        <w:t>ya que</w:t>
      </w:r>
      <w:r w:rsidR="008C3A16" w:rsidRPr="000430DB">
        <w:rPr>
          <w:rFonts w:ascii="PT Serif" w:hAnsi="PT Serif" w:cs="Times New Roman"/>
          <w:sz w:val="24"/>
          <w:szCs w:val="24"/>
        </w:rPr>
        <w:t xml:space="preserve"> como se ha revisado, el caso </w:t>
      </w:r>
      <w:r w:rsidR="00BA656C" w:rsidRPr="000430DB">
        <w:rPr>
          <w:rFonts w:ascii="PT Serif" w:hAnsi="PT Serif" w:cs="Times New Roman"/>
          <w:sz w:val="24"/>
          <w:szCs w:val="24"/>
        </w:rPr>
        <w:t>mantiene</w:t>
      </w:r>
      <w:r w:rsidR="008C3A16" w:rsidRPr="000430DB">
        <w:rPr>
          <w:rFonts w:ascii="PT Serif" w:hAnsi="PT Serif" w:cs="Times New Roman"/>
          <w:sz w:val="24"/>
          <w:szCs w:val="24"/>
        </w:rPr>
        <w:t xml:space="preserve"> </w:t>
      </w:r>
      <w:r w:rsidR="0073247D" w:rsidRPr="000430DB">
        <w:rPr>
          <w:rFonts w:ascii="PT Serif" w:hAnsi="PT Serif" w:cs="Times New Roman"/>
          <w:sz w:val="24"/>
          <w:szCs w:val="24"/>
        </w:rPr>
        <w:t xml:space="preserve">mayoritariamente </w:t>
      </w:r>
      <w:r w:rsidR="008C3A16" w:rsidRPr="000430DB">
        <w:rPr>
          <w:rFonts w:ascii="PT Serif" w:hAnsi="PT Serif" w:cs="Times New Roman"/>
          <w:sz w:val="24"/>
          <w:szCs w:val="24"/>
        </w:rPr>
        <w:t xml:space="preserve">medidas pendientes por atenderse y en realidad </w:t>
      </w:r>
      <w:r w:rsidR="00C76E33" w:rsidRPr="000430DB">
        <w:rPr>
          <w:rFonts w:ascii="PT Serif" w:hAnsi="PT Serif" w:cs="Times New Roman"/>
          <w:sz w:val="24"/>
          <w:szCs w:val="24"/>
        </w:rPr>
        <w:t>algunas de ella</w:t>
      </w:r>
      <w:r w:rsidR="005613AE" w:rsidRPr="000430DB">
        <w:rPr>
          <w:rFonts w:ascii="PT Serif" w:hAnsi="PT Serif" w:cs="Times New Roman"/>
          <w:sz w:val="24"/>
          <w:szCs w:val="24"/>
        </w:rPr>
        <w:t>s</w:t>
      </w:r>
      <w:r w:rsidR="00C76E33" w:rsidRPr="000430DB">
        <w:rPr>
          <w:rFonts w:ascii="PT Serif" w:hAnsi="PT Serif" w:cs="Times New Roman"/>
          <w:sz w:val="24"/>
          <w:szCs w:val="24"/>
        </w:rPr>
        <w:t xml:space="preserve"> </w:t>
      </w:r>
      <w:r w:rsidR="008C3A16" w:rsidRPr="000430DB">
        <w:rPr>
          <w:rFonts w:ascii="PT Serif" w:hAnsi="PT Serif" w:cs="Times New Roman"/>
          <w:sz w:val="24"/>
          <w:szCs w:val="24"/>
        </w:rPr>
        <w:t xml:space="preserve">no constituyen acciones objetivamente complejas, tales como publicar la sentencia en los medios indicados o brindar atención psicológica a las víctimas indirectas.  </w:t>
      </w:r>
    </w:p>
    <w:p w14:paraId="2367910A" w14:textId="5C49B577" w:rsidR="00887B51" w:rsidRPr="000430DB" w:rsidRDefault="00C76E33"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Estos y otros </w:t>
      </w:r>
      <w:r w:rsidR="00F159EF" w:rsidRPr="000430DB">
        <w:rPr>
          <w:rFonts w:ascii="PT Serif" w:hAnsi="PT Serif" w:cs="Times New Roman"/>
          <w:sz w:val="24"/>
          <w:szCs w:val="24"/>
        </w:rPr>
        <w:t>asuntos</w:t>
      </w:r>
      <w:r w:rsidRPr="000430DB">
        <w:rPr>
          <w:rFonts w:ascii="PT Serif" w:hAnsi="PT Serif" w:cs="Times New Roman"/>
          <w:sz w:val="24"/>
          <w:szCs w:val="24"/>
        </w:rPr>
        <w:t xml:space="preserve"> más, </w:t>
      </w:r>
      <w:r w:rsidR="00E13927" w:rsidRPr="000430DB">
        <w:rPr>
          <w:rFonts w:ascii="PT Serif" w:hAnsi="PT Serif" w:cs="Times New Roman"/>
          <w:sz w:val="24"/>
          <w:szCs w:val="24"/>
        </w:rPr>
        <w:t>sin pasar de largo</w:t>
      </w:r>
      <w:r w:rsidR="005613AE" w:rsidRPr="000430DB">
        <w:rPr>
          <w:rFonts w:ascii="PT Serif" w:hAnsi="PT Serif" w:cs="Times New Roman"/>
          <w:sz w:val="24"/>
          <w:szCs w:val="24"/>
        </w:rPr>
        <w:t xml:space="preserve"> </w:t>
      </w:r>
      <w:r w:rsidR="00E13927" w:rsidRPr="000430DB">
        <w:rPr>
          <w:rFonts w:ascii="PT Serif" w:hAnsi="PT Serif" w:cs="Times New Roman"/>
          <w:sz w:val="24"/>
          <w:szCs w:val="24"/>
        </w:rPr>
        <w:t>lo ya expuesto</w:t>
      </w:r>
      <w:r w:rsidR="005613AE" w:rsidRPr="000430DB">
        <w:rPr>
          <w:rFonts w:ascii="PT Serif" w:hAnsi="PT Serif" w:cs="Times New Roman"/>
          <w:sz w:val="24"/>
          <w:szCs w:val="24"/>
        </w:rPr>
        <w:t xml:space="preserve"> </w:t>
      </w:r>
      <w:r w:rsidR="00E13927" w:rsidRPr="000430DB">
        <w:rPr>
          <w:rFonts w:ascii="PT Serif" w:hAnsi="PT Serif" w:cs="Times New Roman"/>
          <w:sz w:val="24"/>
          <w:szCs w:val="24"/>
        </w:rPr>
        <w:t>sobre la constante</w:t>
      </w:r>
      <w:r w:rsidR="005613AE" w:rsidRPr="000430DB">
        <w:rPr>
          <w:rFonts w:ascii="PT Serif" w:hAnsi="PT Serif" w:cs="Times New Roman"/>
          <w:sz w:val="24"/>
          <w:szCs w:val="24"/>
        </w:rPr>
        <w:t xml:space="preserve"> </w:t>
      </w:r>
      <w:r w:rsidR="00E13927" w:rsidRPr="000430DB">
        <w:rPr>
          <w:rFonts w:ascii="PT Serif" w:hAnsi="PT Serif" w:cs="Times New Roman"/>
          <w:sz w:val="24"/>
          <w:szCs w:val="24"/>
        </w:rPr>
        <w:t>omisión de no reparar</w:t>
      </w:r>
      <w:r w:rsidR="005613AE" w:rsidRPr="000430DB">
        <w:rPr>
          <w:rFonts w:ascii="PT Serif" w:hAnsi="PT Serif" w:cs="Times New Roman"/>
          <w:sz w:val="24"/>
          <w:szCs w:val="24"/>
        </w:rPr>
        <w:t xml:space="preserve"> monetariamente a las víctimas por los daños morales y materiales ocasionados</w:t>
      </w:r>
      <w:r w:rsidR="00E13927" w:rsidRPr="000430DB">
        <w:rPr>
          <w:rStyle w:val="Refdenotaalpie"/>
          <w:rFonts w:ascii="PT Serif" w:hAnsi="PT Serif" w:cs="Times New Roman"/>
          <w:sz w:val="24"/>
          <w:szCs w:val="24"/>
        </w:rPr>
        <w:footnoteReference w:id="13"/>
      </w:r>
      <w:r w:rsidR="005613AE" w:rsidRPr="000430DB">
        <w:rPr>
          <w:rFonts w:ascii="PT Serif" w:hAnsi="PT Serif" w:cs="Times New Roman"/>
          <w:sz w:val="24"/>
          <w:szCs w:val="24"/>
        </w:rPr>
        <w:t xml:space="preserve">, </w:t>
      </w:r>
      <w:r w:rsidRPr="000430DB">
        <w:rPr>
          <w:rFonts w:ascii="PT Serif" w:hAnsi="PT Serif" w:cs="Times New Roman"/>
          <w:sz w:val="24"/>
          <w:szCs w:val="24"/>
        </w:rPr>
        <w:t xml:space="preserve">evidencian la falta de seriedad que llega a tener la justicia </w:t>
      </w:r>
      <w:r w:rsidRPr="000430DB">
        <w:rPr>
          <w:rFonts w:ascii="PT Serif" w:hAnsi="PT Serif" w:cs="Times New Roman"/>
          <w:sz w:val="24"/>
          <w:szCs w:val="24"/>
        </w:rPr>
        <w:lastRenderedPageBreak/>
        <w:t xml:space="preserve">internacional en el Estado del Perú. </w:t>
      </w:r>
      <w:r w:rsidR="003B0F3C" w:rsidRPr="000430DB">
        <w:rPr>
          <w:rFonts w:ascii="PT Serif" w:hAnsi="PT Serif" w:cs="Times New Roman"/>
          <w:sz w:val="24"/>
          <w:szCs w:val="24"/>
        </w:rPr>
        <w:t>Existe un</w:t>
      </w:r>
      <w:r w:rsidRPr="000430DB">
        <w:rPr>
          <w:rFonts w:ascii="PT Serif" w:hAnsi="PT Serif" w:cs="Times New Roman"/>
          <w:sz w:val="24"/>
          <w:szCs w:val="24"/>
        </w:rPr>
        <w:t xml:space="preserve"> alarmante </w:t>
      </w:r>
      <w:r w:rsidR="003F3796">
        <w:rPr>
          <w:rFonts w:ascii="PT Serif" w:hAnsi="PT Serif" w:cs="Times New Roman"/>
          <w:sz w:val="24"/>
          <w:szCs w:val="24"/>
        </w:rPr>
        <w:t xml:space="preserve">desinterés </w:t>
      </w:r>
      <w:r w:rsidRPr="000430DB">
        <w:rPr>
          <w:rFonts w:ascii="PT Serif" w:hAnsi="PT Serif" w:cs="Times New Roman"/>
          <w:sz w:val="24"/>
          <w:szCs w:val="24"/>
        </w:rPr>
        <w:t xml:space="preserve">en el cumplimiento de los deberes internacionales que diluye el impacto </w:t>
      </w:r>
      <w:r w:rsidR="00C319E5" w:rsidRPr="000430DB">
        <w:rPr>
          <w:rFonts w:ascii="PT Serif" w:hAnsi="PT Serif" w:cs="Times New Roman"/>
          <w:sz w:val="24"/>
          <w:szCs w:val="24"/>
        </w:rPr>
        <w:t>que se le da a</w:t>
      </w:r>
      <w:r w:rsidRPr="000430DB">
        <w:rPr>
          <w:rFonts w:ascii="PT Serif" w:hAnsi="PT Serif" w:cs="Times New Roman"/>
          <w:sz w:val="24"/>
          <w:szCs w:val="24"/>
        </w:rPr>
        <w:t xml:space="preserve"> la</w:t>
      </w:r>
      <w:r w:rsidR="003B0F3C" w:rsidRPr="000430DB">
        <w:rPr>
          <w:rFonts w:ascii="PT Serif" w:hAnsi="PT Serif" w:cs="Times New Roman"/>
          <w:sz w:val="24"/>
          <w:szCs w:val="24"/>
        </w:rPr>
        <w:t>s resoluciones del Tribunal Supranacional</w:t>
      </w:r>
      <w:r w:rsidR="00C319E5" w:rsidRPr="000430DB">
        <w:rPr>
          <w:rFonts w:ascii="PT Serif" w:hAnsi="PT Serif" w:cs="Times New Roman"/>
          <w:sz w:val="24"/>
          <w:szCs w:val="24"/>
        </w:rPr>
        <w:t xml:space="preserve">. </w:t>
      </w:r>
    </w:p>
    <w:p w14:paraId="5079B839" w14:textId="26EAF3FE" w:rsidR="00C148C4" w:rsidRPr="000430DB" w:rsidRDefault="00E25AA1"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Este panorama invita a reflexionar sobre las razones por las que esto sucede, sin embargo, previo a pasar a atender tal consideración, contemplemos </w:t>
      </w:r>
      <w:r w:rsidR="00EB5148" w:rsidRPr="000430DB">
        <w:rPr>
          <w:rFonts w:ascii="PT Serif" w:hAnsi="PT Serif" w:cs="Times New Roman"/>
          <w:sz w:val="24"/>
          <w:szCs w:val="24"/>
        </w:rPr>
        <w:t xml:space="preserve">primeramente </w:t>
      </w:r>
      <w:r w:rsidRPr="000430DB">
        <w:rPr>
          <w:rFonts w:ascii="PT Serif" w:hAnsi="PT Serif" w:cs="Times New Roman"/>
          <w:sz w:val="24"/>
          <w:szCs w:val="24"/>
        </w:rPr>
        <w:t>el escenario que México guarda sobre el cumplimiento de las medidas reparatorias en casos individuales con el fin</w:t>
      </w:r>
      <w:r w:rsidR="00C319E5" w:rsidRPr="000430DB">
        <w:rPr>
          <w:rFonts w:ascii="PT Serif" w:hAnsi="PT Serif" w:cs="Times New Roman"/>
          <w:sz w:val="24"/>
          <w:szCs w:val="24"/>
        </w:rPr>
        <w:t xml:space="preserve"> de no sólo </w:t>
      </w:r>
      <w:r w:rsidR="00953054">
        <w:rPr>
          <w:rFonts w:ascii="PT Serif" w:hAnsi="PT Serif" w:cs="Times New Roman"/>
          <w:sz w:val="24"/>
          <w:szCs w:val="24"/>
        </w:rPr>
        <w:t>abordar</w:t>
      </w:r>
      <w:r w:rsidRPr="000430DB">
        <w:rPr>
          <w:rFonts w:ascii="PT Serif" w:hAnsi="PT Serif" w:cs="Times New Roman"/>
          <w:sz w:val="24"/>
          <w:szCs w:val="24"/>
        </w:rPr>
        <w:t xml:space="preserve"> </w:t>
      </w:r>
      <w:r w:rsidR="00C319E5" w:rsidRPr="000430DB">
        <w:rPr>
          <w:rFonts w:ascii="PT Serif" w:hAnsi="PT Serif" w:cs="Times New Roman"/>
          <w:sz w:val="24"/>
          <w:szCs w:val="24"/>
        </w:rPr>
        <w:t>la comparativa</w:t>
      </w:r>
      <w:r w:rsidRPr="000430DB">
        <w:rPr>
          <w:rFonts w:ascii="PT Serif" w:hAnsi="PT Serif" w:cs="Times New Roman"/>
          <w:sz w:val="24"/>
          <w:szCs w:val="24"/>
        </w:rPr>
        <w:t xml:space="preserve"> prometid</w:t>
      </w:r>
      <w:r w:rsidR="00C319E5" w:rsidRPr="000430DB">
        <w:rPr>
          <w:rFonts w:ascii="PT Serif" w:hAnsi="PT Serif" w:cs="Times New Roman"/>
          <w:sz w:val="24"/>
          <w:szCs w:val="24"/>
        </w:rPr>
        <w:t>a</w:t>
      </w:r>
      <w:r w:rsidRPr="000430DB">
        <w:rPr>
          <w:rFonts w:ascii="PT Serif" w:hAnsi="PT Serif" w:cs="Times New Roman"/>
          <w:sz w:val="24"/>
          <w:szCs w:val="24"/>
        </w:rPr>
        <w:t xml:space="preserve">, </w:t>
      </w:r>
      <w:r w:rsidR="00C319E5" w:rsidRPr="000430DB">
        <w:rPr>
          <w:rFonts w:ascii="PT Serif" w:hAnsi="PT Serif" w:cs="Times New Roman"/>
          <w:sz w:val="24"/>
          <w:szCs w:val="24"/>
        </w:rPr>
        <w:t>sino que</w:t>
      </w:r>
      <w:r w:rsidRPr="000430DB">
        <w:rPr>
          <w:rFonts w:ascii="PT Serif" w:hAnsi="PT Serif" w:cs="Times New Roman"/>
          <w:sz w:val="24"/>
          <w:szCs w:val="24"/>
        </w:rPr>
        <w:t xml:space="preserve"> también con el objetivo de ir llegando a un punto común entre las deficiencias internacionales de estos dos países que permitan fomentar, tal como se decía en la introducción, </w:t>
      </w:r>
      <w:r w:rsidR="004F3FED" w:rsidRPr="000430DB">
        <w:rPr>
          <w:rFonts w:ascii="PT Serif" w:hAnsi="PT Serif" w:cs="Times New Roman"/>
          <w:sz w:val="24"/>
          <w:szCs w:val="24"/>
        </w:rPr>
        <w:t>propuestas que</w:t>
      </w:r>
      <w:r w:rsidR="00E13927" w:rsidRPr="000430DB">
        <w:rPr>
          <w:rFonts w:ascii="PT Serif" w:hAnsi="PT Serif" w:cs="Times New Roman"/>
          <w:sz w:val="24"/>
          <w:szCs w:val="24"/>
        </w:rPr>
        <w:t xml:space="preserve"> </w:t>
      </w:r>
      <w:r w:rsidR="004F3FED" w:rsidRPr="000430DB">
        <w:rPr>
          <w:rFonts w:ascii="PT Serif" w:hAnsi="PT Serif" w:cs="Times New Roman"/>
          <w:sz w:val="24"/>
          <w:szCs w:val="24"/>
        </w:rPr>
        <w:t>fortalezcan</w:t>
      </w:r>
      <w:r w:rsidR="00E13927" w:rsidRPr="000430DB">
        <w:rPr>
          <w:rFonts w:ascii="PT Serif" w:hAnsi="PT Serif" w:cs="Times New Roman"/>
          <w:sz w:val="24"/>
          <w:szCs w:val="24"/>
        </w:rPr>
        <w:t xml:space="preserve"> </w:t>
      </w:r>
      <w:r w:rsidR="004F3FED" w:rsidRPr="000430DB">
        <w:rPr>
          <w:rFonts w:ascii="PT Serif" w:hAnsi="PT Serif" w:cs="Times New Roman"/>
          <w:sz w:val="24"/>
          <w:szCs w:val="24"/>
        </w:rPr>
        <w:t>e</w:t>
      </w:r>
      <w:r w:rsidR="00E13927" w:rsidRPr="000430DB">
        <w:rPr>
          <w:rFonts w:ascii="PT Serif" w:hAnsi="PT Serif" w:cs="Times New Roman"/>
          <w:sz w:val="24"/>
          <w:szCs w:val="24"/>
        </w:rPr>
        <w:t>l marco internacional en las sedes internas.</w:t>
      </w:r>
    </w:p>
    <w:p w14:paraId="15C190D8" w14:textId="60B343DF" w:rsidR="006D517B" w:rsidRPr="000430DB" w:rsidRDefault="00887B51" w:rsidP="00887B51">
      <w:pPr>
        <w:pStyle w:val="Prrafodelista"/>
        <w:numPr>
          <w:ilvl w:val="0"/>
          <w:numId w:val="21"/>
        </w:numPr>
        <w:spacing w:line="360" w:lineRule="auto"/>
        <w:jc w:val="both"/>
        <w:rPr>
          <w:rFonts w:ascii="PT Serif" w:hAnsi="PT Serif" w:cs="Times New Roman"/>
          <w:sz w:val="24"/>
          <w:szCs w:val="24"/>
        </w:rPr>
      </w:pPr>
      <w:r w:rsidRPr="000430DB">
        <w:rPr>
          <w:rFonts w:ascii="PT Serif" w:hAnsi="PT Serif" w:cs="Times New Roman"/>
          <w:i/>
          <w:iCs/>
          <w:sz w:val="24"/>
          <w:szCs w:val="24"/>
        </w:rPr>
        <w:t xml:space="preserve">IMPUNIDAD Y MILITARIZACIÓN: LA INDIFERENCIA MEXICANA FRENTE A LA JUSTICIA INTERNACIONAL    </w:t>
      </w:r>
      <w:r w:rsidR="00E13927" w:rsidRPr="000430DB">
        <w:rPr>
          <w:rFonts w:ascii="PT Serif" w:hAnsi="PT Serif" w:cs="Times New Roman"/>
          <w:sz w:val="24"/>
          <w:szCs w:val="24"/>
        </w:rPr>
        <w:t xml:space="preserve"> </w:t>
      </w:r>
    </w:p>
    <w:p w14:paraId="49EF12B9" w14:textId="6C760712" w:rsidR="0065328B" w:rsidRDefault="0019003A"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S</w:t>
      </w:r>
      <w:r w:rsidR="00627ED6" w:rsidRPr="000430DB">
        <w:rPr>
          <w:rFonts w:ascii="PT Serif" w:hAnsi="PT Serif" w:cs="Times New Roman"/>
          <w:sz w:val="24"/>
          <w:szCs w:val="24"/>
        </w:rPr>
        <w:t>obre las sentencias en materia de desaparición forzada en México, tomando como base la</w:t>
      </w:r>
      <w:r w:rsidR="001673CE">
        <w:rPr>
          <w:rFonts w:ascii="PT Serif" w:hAnsi="PT Serif" w:cs="Times New Roman"/>
          <w:sz w:val="24"/>
          <w:szCs w:val="24"/>
        </w:rPr>
        <w:t xml:space="preserve"> </w:t>
      </w:r>
      <w:r w:rsidR="00627ED6" w:rsidRPr="000430DB">
        <w:rPr>
          <w:rFonts w:ascii="PT Serif" w:hAnsi="PT Serif" w:cs="Times New Roman"/>
          <w:sz w:val="24"/>
          <w:szCs w:val="24"/>
        </w:rPr>
        <w:t>tabla</w:t>
      </w:r>
      <w:r w:rsidR="001673CE">
        <w:rPr>
          <w:rFonts w:ascii="PT Serif" w:hAnsi="PT Serif" w:cs="Times New Roman"/>
          <w:sz w:val="24"/>
          <w:szCs w:val="24"/>
        </w:rPr>
        <w:t xml:space="preserve"> </w:t>
      </w:r>
      <w:r w:rsidR="00627ED6" w:rsidRPr="000430DB">
        <w:rPr>
          <w:rFonts w:ascii="PT Serif" w:hAnsi="PT Serif" w:cs="Times New Roman"/>
          <w:sz w:val="24"/>
          <w:szCs w:val="24"/>
        </w:rPr>
        <w:t>presentada</w:t>
      </w:r>
      <w:r w:rsidR="001673CE">
        <w:rPr>
          <w:rFonts w:ascii="PT Serif" w:hAnsi="PT Serif" w:cs="Times New Roman"/>
          <w:sz w:val="24"/>
          <w:szCs w:val="24"/>
        </w:rPr>
        <w:t xml:space="preserve"> </w:t>
      </w:r>
      <w:r w:rsidR="0007648E" w:rsidRPr="000430DB">
        <w:rPr>
          <w:rFonts w:ascii="PT Serif" w:hAnsi="PT Serif" w:cs="Times New Roman"/>
          <w:sz w:val="24"/>
          <w:szCs w:val="24"/>
        </w:rPr>
        <w:t>que ilustra únicamente tres casos</w:t>
      </w:r>
      <w:r w:rsidR="00627ED6" w:rsidRPr="000430DB">
        <w:rPr>
          <w:rFonts w:ascii="PT Serif" w:hAnsi="PT Serif" w:cs="Times New Roman"/>
          <w:sz w:val="24"/>
          <w:szCs w:val="24"/>
        </w:rPr>
        <w:t xml:space="preserve">, se </w:t>
      </w:r>
      <w:r w:rsidR="0007648E" w:rsidRPr="000430DB">
        <w:rPr>
          <w:rFonts w:ascii="PT Serif" w:hAnsi="PT Serif" w:cs="Times New Roman"/>
          <w:sz w:val="24"/>
          <w:szCs w:val="24"/>
        </w:rPr>
        <w:t>identifica</w:t>
      </w:r>
      <w:r w:rsidR="00627ED6" w:rsidRPr="000430DB">
        <w:rPr>
          <w:rFonts w:ascii="PT Serif" w:hAnsi="PT Serif" w:cs="Times New Roman"/>
          <w:sz w:val="24"/>
          <w:szCs w:val="24"/>
        </w:rPr>
        <w:t xml:space="preserve"> una constante de que al Estado mexicano no </w:t>
      </w:r>
      <w:r w:rsidR="00616747" w:rsidRPr="000430DB">
        <w:rPr>
          <w:rFonts w:ascii="PT Serif" w:hAnsi="PT Serif" w:cs="Times New Roman"/>
          <w:sz w:val="24"/>
          <w:szCs w:val="24"/>
        </w:rPr>
        <w:t xml:space="preserve">le </w:t>
      </w:r>
      <w:r w:rsidR="00627ED6" w:rsidRPr="000430DB">
        <w:rPr>
          <w:rFonts w:ascii="PT Serif" w:hAnsi="PT Serif" w:cs="Times New Roman"/>
          <w:sz w:val="24"/>
          <w:szCs w:val="24"/>
        </w:rPr>
        <w:t xml:space="preserve">representa problema alguno desembolsar dinero para el pago de las medidas reparatorias </w:t>
      </w:r>
      <w:r w:rsidR="00616747" w:rsidRPr="000430DB">
        <w:rPr>
          <w:rFonts w:ascii="PT Serif" w:hAnsi="PT Serif" w:cs="Times New Roman"/>
          <w:sz w:val="24"/>
          <w:szCs w:val="24"/>
        </w:rPr>
        <w:t>onerosas</w:t>
      </w:r>
      <w:r w:rsidR="00627ED6" w:rsidRPr="000430DB">
        <w:rPr>
          <w:rFonts w:ascii="PT Serif" w:hAnsi="PT Serif" w:cs="Times New Roman"/>
          <w:sz w:val="24"/>
          <w:szCs w:val="24"/>
        </w:rPr>
        <w:t xml:space="preserve">. </w:t>
      </w:r>
      <w:r w:rsidR="00616747" w:rsidRPr="000430DB">
        <w:rPr>
          <w:rFonts w:ascii="PT Serif" w:hAnsi="PT Serif" w:cs="Times New Roman"/>
          <w:sz w:val="24"/>
          <w:szCs w:val="24"/>
        </w:rPr>
        <w:t xml:space="preserve">Tal es así, que no pasó mucho para que el </w:t>
      </w:r>
      <w:r w:rsidR="005F2473" w:rsidRPr="000430DB">
        <w:rPr>
          <w:rFonts w:ascii="PT Serif" w:hAnsi="PT Serif" w:cs="Times New Roman"/>
          <w:sz w:val="24"/>
          <w:szCs w:val="24"/>
        </w:rPr>
        <w:t>gobierno</w:t>
      </w:r>
      <w:r w:rsidR="0007648E" w:rsidRPr="000430DB">
        <w:rPr>
          <w:rFonts w:ascii="PT Serif" w:hAnsi="PT Serif" w:cs="Times New Roman"/>
          <w:sz w:val="24"/>
          <w:szCs w:val="24"/>
        </w:rPr>
        <w:t xml:space="preserve"> mexicano</w:t>
      </w:r>
      <w:r w:rsidR="00D70B7E" w:rsidRPr="000430DB">
        <w:rPr>
          <w:rFonts w:ascii="PT Serif" w:hAnsi="PT Serif" w:cs="Times New Roman"/>
          <w:sz w:val="24"/>
          <w:szCs w:val="24"/>
        </w:rPr>
        <w:t xml:space="preserve">, </w:t>
      </w:r>
      <w:r w:rsidR="00616747" w:rsidRPr="000430DB">
        <w:rPr>
          <w:rFonts w:ascii="PT Serif" w:hAnsi="PT Serif" w:cs="Times New Roman"/>
          <w:sz w:val="24"/>
          <w:szCs w:val="24"/>
        </w:rPr>
        <w:t xml:space="preserve">respecto a la última sentencia </w:t>
      </w:r>
      <w:r w:rsidR="00882A70" w:rsidRPr="000430DB">
        <w:rPr>
          <w:rFonts w:ascii="PT Serif" w:hAnsi="PT Serif" w:cs="Times New Roman"/>
          <w:sz w:val="24"/>
          <w:szCs w:val="24"/>
        </w:rPr>
        <w:t>dictada</w:t>
      </w:r>
      <w:r w:rsidR="00616747" w:rsidRPr="000430DB">
        <w:rPr>
          <w:rFonts w:ascii="PT Serif" w:hAnsi="PT Serif" w:cs="Times New Roman"/>
          <w:sz w:val="24"/>
          <w:szCs w:val="24"/>
        </w:rPr>
        <w:t xml:space="preserve"> en su contra (González Méndez) </w:t>
      </w:r>
      <w:r w:rsidR="0007648E" w:rsidRPr="000430DB">
        <w:rPr>
          <w:rFonts w:ascii="PT Serif" w:hAnsi="PT Serif" w:cs="Times New Roman"/>
          <w:sz w:val="24"/>
          <w:szCs w:val="24"/>
        </w:rPr>
        <w:t>en agosto de 2024</w:t>
      </w:r>
      <w:r w:rsidR="00D70B7E" w:rsidRPr="000430DB">
        <w:rPr>
          <w:rFonts w:ascii="PT Serif" w:hAnsi="PT Serif" w:cs="Times New Roman"/>
          <w:sz w:val="24"/>
          <w:szCs w:val="24"/>
        </w:rPr>
        <w:t>,</w:t>
      </w:r>
      <w:r w:rsidR="00616747" w:rsidRPr="000430DB">
        <w:rPr>
          <w:rFonts w:ascii="PT Serif" w:hAnsi="PT Serif" w:cs="Times New Roman"/>
          <w:sz w:val="24"/>
          <w:szCs w:val="24"/>
        </w:rPr>
        <w:t xml:space="preserve"> diera a la familia de la víctima directa</w:t>
      </w:r>
      <w:r w:rsidR="00D70B7E" w:rsidRPr="000430DB">
        <w:rPr>
          <w:rFonts w:ascii="PT Serif" w:hAnsi="PT Serif" w:cs="Times New Roman"/>
          <w:sz w:val="24"/>
          <w:szCs w:val="24"/>
        </w:rPr>
        <w:t xml:space="preserve">, </w:t>
      </w:r>
      <w:r w:rsidR="00616747" w:rsidRPr="000430DB">
        <w:rPr>
          <w:rFonts w:ascii="PT Serif" w:hAnsi="PT Serif" w:cs="Times New Roman"/>
          <w:sz w:val="24"/>
          <w:szCs w:val="24"/>
        </w:rPr>
        <w:t>en ese mismo año</w:t>
      </w:r>
      <w:r w:rsidR="00D70B7E" w:rsidRPr="000430DB">
        <w:rPr>
          <w:rFonts w:ascii="PT Serif" w:hAnsi="PT Serif" w:cs="Times New Roman"/>
          <w:sz w:val="24"/>
          <w:szCs w:val="24"/>
        </w:rPr>
        <w:t xml:space="preserve">, </w:t>
      </w:r>
      <w:r w:rsidR="00616747" w:rsidRPr="000430DB">
        <w:rPr>
          <w:rFonts w:ascii="PT Serif" w:hAnsi="PT Serif" w:cs="Times New Roman"/>
          <w:sz w:val="24"/>
          <w:szCs w:val="24"/>
        </w:rPr>
        <w:t>una compensación de 1,3 millones de pesos</w:t>
      </w:r>
      <w:r w:rsidR="00F1718A" w:rsidRPr="000430DB">
        <w:rPr>
          <w:rFonts w:ascii="PT Serif" w:hAnsi="PT Serif" w:cs="Times New Roman"/>
          <w:sz w:val="24"/>
          <w:szCs w:val="24"/>
        </w:rPr>
        <w:t xml:space="preserve"> (Guillén, 2024)</w:t>
      </w:r>
      <w:r w:rsidR="005F2473" w:rsidRPr="000430DB">
        <w:rPr>
          <w:rFonts w:ascii="PT Serif" w:hAnsi="PT Serif" w:cs="Times New Roman"/>
          <w:sz w:val="24"/>
          <w:szCs w:val="24"/>
        </w:rPr>
        <w:t>.</w:t>
      </w:r>
    </w:p>
    <w:p w14:paraId="26E7A617" w14:textId="2A2248B8" w:rsidR="001C00F4" w:rsidRDefault="001C00F4" w:rsidP="003A06AA">
      <w:pPr>
        <w:spacing w:line="360" w:lineRule="auto"/>
        <w:ind w:firstLine="720"/>
        <w:jc w:val="both"/>
        <w:rPr>
          <w:rFonts w:ascii="PT Serif" w:hAnsi="PT Serif" w:cs="Times New Roman"/>
          <w:sz w:val="24"/>
          <w:szCs w:val="24"/>
        </w:rPr>
      </w:pPr>
      <w:r w:rsidRPr="001C00F4">
        <w:rPr>
          <w:rFonts w:ascii="PT Serif" w:hAnsi="PT Serif" w:cs="Times New Roman"/>
          <w:sz w:val="24"/>
          <w:szCs w:val="24"/>
        </w:rPr>
        <w:t xml:space="preserve">Si bien </w:t>
      </w:r>
      <w:r>
        <w:rPr>
          <w:rFonts w:ascii="PT Serif" w:hAnsi="PT Serif" w:cs="Times New Roman"/>
          <w:sz w:val="24"/>
          <w:szCs w:val="24"/>
        </w:rPr>
        <w:t>esto</w:t>
      </w:r>
      <w:r w:rsidRPr="001C00F4">
        <w:rPr>
          <w:rFonts w:ascii="PT Serif" w:hAnsi="PT Serif" w:cs="Times New Roman"/>
          <w:sz w:val="24"/>
          <w:szCs w:val="24"/>
        </w:rPr>
        <w:t xml:space="preserve"> podría interpretarse como un avance, la tendencia a ejecutar únicamente aquellas</w:t>
      </w:r>
      <w:r>
        <w:rPr>
          <w:rFonts w:ascii="PT Serif" w:hAnsi="PT Serif" w:cs="Times New Roman"/>
          <w:sz w:val="24"/>
          <w:szCs w:val="24"/>
        </w:rPr>
        <w:t xml:space="preserve"> medidas</w:t>
      </w:r>
      <w:r w:rsidRPr="001C00F4">
        <w:rPr>
          <w:rFonts w:ascii="PT Serif" w:hAnsi="PT Serif" w:cs="Times New Roman"/>
          <w:sz w:val="24"/>
          <w:szCs w:val="24"/>
        </w:rPr>
        <w:t xml:space="preserve"> de carácter económico revela una estrategia orientada a reducir la presión mediática en lugar de generar un impacto estructural. El Estado mexicano parece justificar su compromiso internacional mediante la entrega de indemnizaciones, dejando de lado medidas más profundas que abordarían las causas estructurales de la desaparición forzada y fortalecerían el Estado de derecho. Como </w:t>
      </w:r>
      <w:r w:rsidRPr="001C00F4">
        <w:rPr>
          <w:rFonts w:ascii="PT Serif" w:hAnsi="PT Serif" w:cs="Times New Roman"/>
          <w:sz w:val="24"/>
          <w:szCs w:val="24"/>
        </w:rPr>
        <w:lastRenderedPageBreak/>
        <w:t>reflejan las cifras, estos delitos no solo persisten, sino que continúan en aumento, situando a México como el país de Latinoamérica con el mayor número de casos de desaparición forzada, mientras otras obligaciones impuestas en las sentencias siguen sin atenderse (Comité Internacional de la Cruz Roja, 2024).</w:t>
      </w:r>
    </w:p>
    <w:p w14:paraId="464274AC" w14:textId="5F6D0554" w:rsidR="0065328B" w:rsidRPr="000430DB" w:rsidRDefault="00784DB8" w:rsidP="0065328B">
      <w:pPr>
        <w:spacing w:line="360" w:lineRule="auto"/>
        <w:ind w:firstLine="720"/>
        <w:jc w:val="both"/>
        <w:rPr>
          <w:rFonts w:ascii="PT Serif" w:hAnsi="PT Serif" w:cs="Times New Roman"/>
          <w:sz w:val="24"/>
          <w:szCs w:val="24"/>
        </w:rPr>
      </w:pPr>
      <w:r>
        <w:rPr>
          <w:rFonts w:ascii="PT Serif" w:hAnsi="PT Serif" w:cs="Times New Roman"/>
          <w:sz w:val="24"/>
          <w:szCs w:val="24"/>
        </w:rPr>
        <w:t>Esto</w:t>
      </w:r>
      <w:r w:rsidR="0065328B">
        <w:rPr>
          <w:rFonts w:ascii="PT Serif" w:hAnsi="PT Serif" w:cs="Times New Roman"/>
          <w:sz w:val="24"/>
          <w:szCs w:val="24"/>
        </w:rPr>
        <w:t xml:space="preserve"> encuadra en lo dicho Bertoni (2016) referente a que las medidas cumplidas son por regla las de naturaleza económica o simbólica, sin embargo, “se </w:t>
      </w:r>
      <w:r w:rsidR="0065328B" w:rsidRPr="0065328B">
        <w:rPr>
          <w:rFonts w:ascii="PT Serif" w:hAnsi="PT Serif" w:cs="Times New Roman"/>
          <w:sz w:val="24"/>
          <w:szCs w:val="24"/>
        </w:rPr>
        <w:t>mantienen brechas importantes en reparaciones no pecuniarias como reformas legales e investigación y sanción a trasgresores de violaciones a derechos humanos</w:t>
      </w:r>
      <w:r w:rsidR="0065328B">
        <w:rPr>
          <w:rFonts w:ascii="PT Serif" w:hAnsi="PT Serif" w:cs="Times New Roman"/>
          <w:sz w:val="24"/>
          <w:szCs w:val="24"/>
        </w:rPr>
        <w:t xml:space="preserve">” (citado por López, p. 217). </w:t>
      </w:r>
    </w:p>
    <w:p w14:paraId="44D8C936" w14:textId="1AE7F57B" w:rsidR="00887B51" w:rsidRPr="000430DB" w:rsidRDefault="00784DB8" w:rsidP="00887B51">
      <w:pPr>
        <w:spacing w:line="360" w:lineRule="auto"/>
        <w:ind w:firstLine="720"/>
        <w:jc w:val="both"/>
        <w:rPr>
          <w:rFonts w:ascii="PT Serif" w:hAnsi="PT Serif" w:cs="Times New Roman"/>
          <w:sz w:val="24"/>
          <w:szCs w:val="24"/>
        </w:rPr>
      </w:pPr>
      <w:r>
        <w:rPr>
          <w:rFonts w:ascii="PT Serif" w:hAnsi="PT Serif" w:cs="Times New Roman"/>
          <w:sz w:val="24"/>
          <w:szCs w:val="24"/>
        </w:rPr>
        <w:t xml:space="preserve">De lo dicho, </w:t>
      </w:r>
      <w:r w:rsidR="00DA1D6B">
        <w:rPr>
          <w:rFonts w:ascii="PT Serif" w:hAnsi="PT Serif" w:cs="Times New Roman"/>
          <w:sz w:val="24"/>
          <w:szCs w:val="24"/>
        </w:rPr>
        <w:t>véase</w:t>
      </w:r>
      <w:r>
        <w:rPr>
          <w:rFonts w:ascii="PT Serif" w:hAnsi="PT Serif" w:cs="Times New Roman"/>
          <w:sz w:val="24"/>
          <w:szCs w:val="24"/>
        </w:rPr>
        <w:t xml:space="preserve"> </w:t>
      </w:r>
      <w:r w:rsidR="0050441E" w:rsidRPr="000430DB">
        <w:rPr>
          <w:rFonts w:ascii="PT Serif" w:hAnsi="PT Serif" w:cs="Times New Roman"/>
          <w:sz w:val="24"/>
          <w:szCs w:val="24"/>
        </w:rPr>
        <w:t>el caso Radilla Pacheco</w:t>
      </w:r>
      <w:r w:rsidR="00A66B68" w:rsidRPr="000430DB">
        <w:rPr>
          <w:rFonts w:ascii="PT Serif" w:hAnsi="PT Serif" w:cs="Times New Roman"/>
          <w:sz w:val="24"/>
          <w:szCs w:val="24"/>
        </w:rPr>
        <w:t>,</w:t>
      </w:r>
      <w:r w:rsidR="009034E0" w:rsidRPr="000430DB">
        <w:rPr>
          <w:rFonts w:ascii="PT Serif" w:hAnsi="PT Serif" w:cs="Times New Roman"/>
          <w:sz w:val="24"/>
          <w:szCs w:val="24"/>
        </w:rPr>
        <w:t xml:space="preserve"> </w:t>
      </w:r>
      <w:r>
        <w:rPr>
          <w:rFonts w:ascii="PT Serif" w:hAnsi="PT Serif" w:cs="Times New Roman"/>
          <w:sz w:val="24"/>
          <w:szCs w:val="24"/>
        </w:rPr>
        <w:t xml:space="preserve">en el cual </w:t>
      </w:r>
      <w:r w:rsidR="00D2688E" w:rsidRPr="000430DB">
        <w:rPr>
          <w:rFonts w:ascii="PT Serif" w:hAnsi="PT Serif" w:cs="Times New Roman"/>
          <w:sz w:val="24"/>
          <w:szCs w:val="24"/>
        </w:rPr>
        <w:t>se había condenado</w:t>
      </w:r>
      <w:r w:rsidR="00DA1D6B">
        <w:rPr>
          <w:rFonts w:ascii="PT Serif" w:hAnsi="PT Serif" w:cs="Times New Roman"/>
          <w:sz w:val="24"/>
          <w:szCs w:val="24"/>
        </w:rPr>
        <w:t xml:space="preserve"> a </w:t>
      </w:r>
      <w:r w:rsidR="00D2688E" w:rsidRPr="000430DB">
        <w:rPr>
          <w:rFonts w:ascii="PT Serif" w:hAnsi="PT Serif" w:cs="Times New Roman"/>
          <w:sz w:val="24"/>
          <w:szCs w:val="24"/>
        </w:rPr>
        <w:t>tener que adecuar la legislación nacional a la CAD</w:t>
      </w:r>
      <w:r w:rsidR="00AE0D36" w:rsidRPr="000430DB">
        <w:rPr>
          <w:rFonts w:ascii="PT Serif" w:hAnsi="PT Serif" w:cs="Times New Roman"/>
          <w:sz w:val="24"/>
          <w:szCs w:val="24"/>
        </w:rPr>
        <w:t>H.</w:t>
      </w:r>
      <w:r w:rsidR="0050441E" w:rsidRPr="000430DB">
        <w:rPr>
          <w:rFonts w:ascii="PT Serif" w:hAnsi="PT Serif" w:cs="Times New Roman"/>
          <w:sz w:val="24"/>
          <w:szCs w:val="24"/>
        </w:rPr>
        <w:t xml:space="preserve"> </w:t>
      </w:r>
      <w:r w:rsidR="00AE0D36" w:rsidRPr="000430DB">
        <w:rPr>
          <w:rFonts w:ascii="PT Serif" w:hAnsi="PT Serif" w:cs="Times New Roman"/>
          <w:sz w:val="24"/>
          <w:szCs w:val="24"/>
        </w:rPr>
        <w:t>Específicamente se habla d</w:t>
      </w:r>
      <w:r w:rsidR="00FF5307" w:rsidRPr="000430DB">
        <w:rPr>
          <w:rFonts w:ascii="PT Serif" w:hAnsi="PT Serif" w:cs="Times New Roman"/>
          <w:sz w:val="24"/>
          <w:szCs w:val="24"/>
        </w:rPr>
        <w:t>e la exigencia de tener que</w:t>
      </w:r>
      <w:r w:rsidR="00AE0D36" w:rsidRPr="000430DB">
        <w:rPr>
          <w:rFonts w:ascii="PT Serif" w:hAnsi="PT Serif" w:cs="Times New Roman"/>
          <w:sz w:val="24"/>
          <w:szCs w:val="24"/>
        </w:rPr>
        <w:t xml:space="preserve"> reforma</w:t>
      </w:r>
      <w:r w:rsidR="00FF5307" w:rsidRPr="000430DB">
        <w:rPr>
          <w:rFonts w:ascii="PT Serif" w:hAnsi="PT Serif" w:cs="Times New Roman"/>
          <w:sz w:val="24"/>
          <w:szCs w:val="24"/>
        </w:rPr>
        <w:t>r</w:t>
      </w:r>
      <w:r w:rsidR="0050441E" w:rsidRPr="000430DB">
        <w:rPr>
          <w:rFonts w:ascii="PT Serif" w:hAnsi="PT Serif" w:cs="Times New Roman"/>
          <w:sz w:val="24"/>
          <w:szCs w:val="24"/>
        </w:rPr>
        <w:t xml:space="preserve"> </w:t>
      </w:r>
      <w:r w:rsidR="00FF5307" w:rsidRPr="000430DB">
        <w:rPr>
          <w:rFonts w:ascii="PT Serif" w:hAnsi="PT Serif" w:cs="Times New Roman"/>
          <w:sz w:val="24"/>
          <w:szCs w:val="24"/>
        </w:rPr>
        <w:t>e</w:t>
      </w:r>
      <w:r w:rsidR="009034E0" w:rsidRPr="000430DB">
        <w:rPr>
          <w:rFonts w:ascii="PT Serif" w:hAnsi="PT Serif" w:cs="Times New Roman"/>
          <w:sz w:val="24"/>
          <w:szCs w:val="24"/>
        </w:rPr>
        <w:t xml:space="preserve">l artículo </w:t>
      </w:r>
      <w:r w:rsidR="0050441E" w:rsidRPr="000430DB">
        <w:rPr>
          <w:rFonts w:ascii="PT Serif" w:hAnsi="PT Serif" w:cs="Times New Roman"/>
          <w:sz w:val="24"/>
          <w:szCs w:val="24"/>
        </w:rPr>
        <w:t>57</w:t>
      </w:r>
      <w:r w:rsidR="00AE0D36" w:rsidRPr="000430DB">
        <w:rPr>
          <w:rFonts w:ascii="PT Serif" w:hAnsi="PT Serif" w:cs="Times New Roman"/>
          <w:sz w:val="24"/>
          <w:szCs w:val="24"/>
        </w:rPr>
        <w:t xml:space="preserve">, fracción II </w:t>
      </w:r>
      <w:r w:rsidR="0050441E" w:rsidRPr="000430DB">
        <w:rPr>
          <w:rFonts w:ascii="PT Serif" w:hAnsi="PT Serif" w:cs="Times New Roman"/>
          <w:sz w:val="24"/>
          <w:szCs w:val="24"/>
        </w:rPr>
        <w:t>del Código de Justicia Militar</w:t>
      </w:r>
      <w:r w:rsidR="00F8226E" w:rsidRPr="000430DB">
        <w:rPr>
          <w:rFonts w:ascii="PT Serif" w:hAnsi="PT Serif" w:cs="Times New Roman"/>
          <w:sz w:val="24"/>
          <w:szCs w:val="24"/>
        </w:rPr>
        <w:t xml:space="preserve"> </w:t>
      </w:r>
      <w:r w:rsidR="00AE0D36" w:rsidRPr="000430DB">
        <w:rPr>
          <w:rFonts w:ascii="PT Serif" w:hAnsi="PT Serif" w:cs="Times New Roman"/>
          <w:sz w:val="24"/>
          <w:szCs w:val="24"/>
        </w:rPr>
        <w:t>en razón a que el mismo</w:t>
      </w:r>
      <w:r w:rsidR="009034E0" w:rsidRPr="000430DB">
        <w:rPr>
          <w:rFonts w:ascii="PT Serif" w:hAnsi="PT Serif" w:cs="Times New Roman"/>
          <w:sz w:val="24"/>
          <w:szCs w:val="24"/>
        </w:rPr>
        <w:t xml:space="preserve"> </w:t>
      </w:r>
      <w:r w:rsidR="00AE0D36" w:rsidRPr="000430DB">
        <w:rPr>
          <w:rFonts w:ascii="PT Serif" w:hAnsi="PT Serif" w:cs="Times New Roman"/>
          <w:sz w:val="24"/>
          <w:szCs w:val="24"/>
        </w:rPr>
        <w:t>facultaba</w:t>
      </w:r>
      <w:r w:rsidR="009034E0" w:rsidRPr="000430DB">
        <w:rPr>
          <w:rFonts w:ascii="PT Serif" w:hAnsi="PT Serif" w:cs="Times New Roman"/>
          <w:sz w:val="24"/>
          <w:szCs w:val="24"/>
        </w:rPr>
        <w:t xml:space="preserve"> a los tribunales militares poder conocer de aquellos asuntos en donde los cuerpos castrenses </w:t>
      </w:r>
      <w:r w:rsidR="00157DF3" w:rsidRPr="000430DB">
        <w:rPr>
          <w:rFonts w:ascii="PT Serif" w:hAnsi="PT Serif" w:cs="Times New Roman"/>
          <w:sz w:val="24"/>
          <w:szCs w:val="24"/>
        </w:rPr>
        <w:t>hubiesen</w:t>
      </w:r>
      <w:r w:rsidR="009034E0" w:rsidRPr="000430DB">
        <w:rPr>
          <w:rFonts w:ascii="PT Serif" w:hAnsi="PT Serif" w:cs="Times New Roman"/>
          <w:sz w:val="24"/>
          <w:szCs w:val="24"/>
        </w:rPr>
        <w:t xml:space="preserve"> violado derechos humanos</w:t>
      </w:r>
      <w:r w:rsidR="00AE0D36" w:rsidRPr="000430DB">
        <w:rPr>
          <w:rFonts w:ascii="PT Serif" w:hAnsi="PT Serif" w:cs="Times New Roman"/>
          <w:sz w:val="24"/>
          <w:szCs w:val="24"/>
        </w:rPr>
        <w:t xml:space="preserve">, lo cual, en términos de la CoIDH eso constituía un impedimento “de la estricta conexión del delito del fuero ordinario con el servicio castrense objetivamente valorado”, en otras palabras, se acreditaba la violación de derechos consagrados en los </w:t>
      </w:r>
      <w:r w:rsidR="00FF5307" w:rsidRPr="000430DB">
        <w:rPr>
          <w:rFonts w:ascii="PT Serif" w:hAnsi="PT Serif" w:cs="Times New Roman"/>
          <w:sz w:val="24"/>
          <w:szCs w:val="24"/>
        </w:rPr>
        <w:t>artículos</w:t>
      </w:r>
      <w:r w:rsidR="00AE0D36" w:rsidRPr="000430DB">
        <w:rPr>
          <w:rFonts w:ascii="PT Serif" w:hAnsi="PT Serif" w:cs="Times New Roman"/>
          <w:sz w:val="24"/>
          <w:szCs w:val="24"/>
        </w:rPr>
        <w:t xml:space="preserve"> 8 y 25 de la CADH</w:t>
      </w:r>
      <w:r w:rsidR="00F1718A" w:rsidRPr="000430DB">
        <w:rPr>
          <w:rFonts w:ascii="PT Serif" w:hAnsi="PT Serif" w:cs="Times New Roman"/>
          <w:sz w:val="24"/>
          <w:szCs w:val="24"/>
        </w:rPr>
        <w:t xml:space="preserve"> (Góngora, 2015). </w:t>
      </w:r>
      <w:r w:rsidR="00AE0D36" w:rsidRPr="000430DB">
        <w:rPr>
          <w:rFonts w:ascii="PT Serif" w:hAnsi="PT Serif" w:cs="Times New Roman"/>
          <w:sz w:val="24"/>
          <w:szCs w:val="24"/>
        </w:rPr>
        <w:t xml:space="preserve"> </w:t>
      </w:r>
    </w:p>
    <w:p w14:paraId="04D84614" w14:textId="755B264A" w:rsidR="00D2688E" w:rsidRPr="000430DB" w:rsidRDefault="00FF5307"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Lo anterior, </w:t>
      </w:r>
      <w:r w:rsidR="005516B8" w:rsidRPr="000430DB">
        <w:rPr>
          <w:rFonts w:ascii="PT Serif" w:hAnsi="PT Serif" w:cs="Times New Roman"/>
          <w:sz w:val="24"/>
          <w:szCs w:val="24"/>
        </w:rPr>
        <w:t>focalizado</w:t>
      </w:r>
      <w:r w:rsidRPr="000430DB">
        <w:rPr>
          <w:rFonts w:ascii="PT Serif" w:hAnsi="PT Serif" w:cs="Times New Roman"/>
          <w:sz w:val="24"/>
          <w:szCs w:val="24"/>
        </w:rPr>
        <w:t xml:space="preserve"> en</w:t>
      </w:r>
      <w:r w:rsidR="00FF0BED" w:rsidRPr="000430DB">
        <w:rPr>
          <w:rFonts w:ascii="PT Serif" w:hAnsi="PT Serif" w:cs="Times New Roman"/>
          <w:sz w:val="24"/>
          <w:szCs w:val="24"/>
        </w:rPr>
        <w:t xml:space="preserve"> la garantía d</w:t>
      </w:r>
      <w:r w:rsidRPr="000430DB">
        <w:rPr>
          <w:rFonts w:ascii="PT Serif" w:hAnsi="PT Serif" w:cs="Times New Roman"/>
          <w:sz w:val="24"/>
          <w:szCs w:val="24"/>
        </w:rPr>
        <w:t xml:space="preserve">el principio de imparcialidad que </w:t>
      </w:r>
      <w:r w:rsidR="005516B8" w:rsidRPr="000430DB">
        <w:rPr>
          <w:rFonts w:ascii="PT Serif" w:hAnsi="PT Serif" w:cs="Times New Roman"/>
          <w:sz w:val="24"/>
          <w:szCs w:val="24"/>
        </w:rPr>
        <w:t>asiste</w:t>
      </w:r>
      <w:r w:rsidRPr="000430DB">
        <w:rPr>
          <w:rFonts w:ascii="PT Serif" w:hAnsi="PT Serif" w:cs="Times New Roman"/>
          <w:sz w:val="24"/>
          <w:szCs w:val="24"/>
        </w:rPr>
        <w:t xml:space="preserve"> a los jueces al conocer asuntos, independientemente que no sean del Poder Judicial, </w:t>
      </w:r>
      <w:r w:rsidR="005516B8" w:rsidRPr="000430DB">
        <w:rPr>
          <w:rFonts w:ascii="PT Serif" w:hAnsi="PT Serif" w:cs="Times New Roman"/>
          <w:sz w:val="24"/>
          <w:szCs w:val="24"/>
        </w:rPr>
        <w:t xml:space="preserve">en los siguientes términos: </w:t>
      </w:r>
    </w:p>
    <w:p w14:paraId="205CA9B2" w14:textId="0D01F2EA" w:rsidR="00887B51" w:rsidRPr="000430DB" w:rsidRDefault="00C148C4" w:rsidP="007B0ED6">
      <w:pPr>
        <w:spacing w:line="360" w:lineRule="auto"/>
        <w:ind w:left="720"/>
        <w:jc w:val="both"/>
        <w:rPr>
          <w:rFonts w:ascii="PT Serif" w:hAnsi="PT Serif" w:cs="Times New Roman"/>
          <w:sz w:val="24"/>
          <w:szCs w:val="24"/>
        </w:rPr>
      </w:pPr>
      <w:r>
        <w:rPr>
          <w:rFonts w:ascii="PT Serif" w:hAnsi="PT Serif" w:cs="Times New Roman"/>
          <w:sz w:val="24"/>
          <w:szCs w:val="24"/>
        </w:rPr>
        <w:t>[S]</w:t>
      </w:r>
      <w:r w:rsidR="00887B51" w:rsidRPr="000430DB">
        <w:rPr>
          <w:rFonts w:ascii="PT Serif" w:hAnsi="PT Serif" w:cs="Times New Roman"/>
          <w:sz w:val="24"/>
          <w:szCs w:val="24"/>
        </w:rPr>
        <w:t xml:space="preserve">us integrantes sean militares en servicio activo, estén subordinados jerárquicamente a los superiores a través de la cadena de mando, su nombramiento no depende de su competencia profesional e idoneidad para ejercer las funciones judiciales, no cuenten con garantías, suficientes de </w:t>
      </w:r>
      <w:r w:rsidR="00887B51" w:rsidRPr="000430DB">
        <w:rPr>
          <w:rFonts w:ascii="PT Serif" w:hAnsi="PT Serif" w:cs="Times New Roman"/>
          <w:sz w:val="24"/>
          <w:szCs w:val="24"/>
        </w:rPr>
        <w:lastRenderedPageBreak/>
        <w:t>inamovilidad y no posean una formación jurídica exigible para desempeñar el cargo de juez o fiscales. (CoIDH, 2005, p. 78)</w:t>
      </w:r>
    </w:p>
    <w:p w14:paraId="7FA6E060" w14:textId="300FFFF3" w:rsidR="00887B51" w:rsidRPr="000430DB" w:rsidRDefault="005516B8"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Tal</w:t>
      </w:r>
      <w:r w:rsidR="00516A43" w:rsidRPr="000430DB">
        <w:rPr>
          <w:rFonts w:ascii="PT Serif" w:hAnsi="PT Serif" w:cs="Times New Roman"/>
          <w:sz w:val="24"/>
          <w:szCs w:val="24"/>
        </w:rPr>
        <w:t xml:space="preserve"> exigencia</w:t>
      </w:r>
      <w:r w:rsidRPr="000430DB">
        <w:rPr>
          <w:rFonts w:ascii="PT Serif" w:hAnsi="PT Serif" w:cs="Times New Roman"/>
          <w:sz w:val="24"/>
          <w:szCs w:val="24"/>
        </w:rPr>
        <w:t xml:space="preserve"> fue </w:t>
      </w:r>
      <w:r w:rsidR="00A90D06" w:rsidRPr="000430DB">
        <w:rPr>
          <w:rFonts w:ascii="PT Serif" w:hAnsi="PT Serif" w:cs="Times New Roman"/>
          <w:sz w:val="24"/>
          <w:szCs w:val="24"/>
        </w:rPr>
        <w:t xml:space="preserve">supuestamente </w:t>
      </w:r>
      <w:r w:rsidR="00FF0BED" w:rsidRPr="000430DB">
        <w:rPr>
          <w:rFonts w:ascii="PT Serif" w:hAnsi="PT Serif" w:cs="Times New Roman"/>
          <w:sz w:val="24"/>
          <w:szCs w:val="24"/>
        </w:rPr>
        <w:t xml:space="preserve">acatada por el Ejecutivo federal al someter al Congreso de la Unión </w:t>
      </w:r>
      <w:r w:rsidR="000B07C6">
        <w:rPr>
          <w:rFonts w:ascii="PT Serif" w:hAnsi="PT Serif" w:cs="Times New Roman"/>
          <w:sz w:val="24"/>
          <w:szCs w:val="24"/>
        </w:rPr>
        <w:t>diversa</w:t>
      </w:r>
      <w:r w:rsidR="00FF0BED" w:rsidRPr="000430DB">
        <w:rPr>
          <w:rFonts w:ascii="PT Serif" w:hAnsi="PT Serif" w:cs="Times New Roman"/>
          <w:sz w:val="24"/>
          <w:szCs w:val="24"/>
        </w:rPr>
        <w:t xml:space="preserve"> iniciativa de reforma que incluía las modificaciones al artículo 57 </w:t>
      </w:r>
      <w:r w:rsidR="00686909" w:rsidRPr="000430DB">
        <w:rPr>
          <w:rFonts w:ascii="PT Serif" w:hAnsi="PT Serif" w:cs="Times New Roman"/>
          <w:sz w:val="24"/>
          <w:szCs w:val="24"/>
        </w:rPr>
        <w:t>en</w:t>
      </w:r>
      <w:r w:rsidR="00FF0BED" w:rsidRPr="000430DB">
        <w:rPr>
          <w:rFonts w:ascii="PT Serif" w:hAnsi="PT Serif" w:cs="Times New Roman"/>
          <w:sz w:val="24"/>
          <w:szCs w:val="24"/>
        </w:rPr>
        <w:t xml:space="preserve"> la cual se excluía del fuero militar los delitos de desaparición forzada, violación</w:t>
      </w:r>
      <w:r w:rsidR="00A35D3B" w:rsidRPr="000430DB">
        <w:rPr>
          <w:rFonts w:ascii="PT Serif" w:hAnsi="PT Serif" w:cs="Times New Roman"/>
          <w:sz w:val="24"/>
          <w:szCs w:val="24"/>
        </w:rPr>
        <w:t xml:space="preserve"> y tortura. </w:t>
      </w:r>
      <w:r w:rsidR="00F43339" w:rsidRPr="000430DB">
        <w:rPr>
          <w:rFonts w:ascii="PT Serif" w:hAnsi="PT Serif" w:cs="Times New Roman"/>
          <w:sz w:val="24"/>
          <w:szCs w:val="24"/>
        </w:rPr>
        <w:t xml:space="preserve"> </w:t>
      </w:r>
    </w:p>
    <w:p w14:paraId="56A5E0E1" w14:textId="18BFD837" w:rsidR="00887B51" w:rsidRPr="000430DB" w:rsidRDefault="004F67A8"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Esta acción</w:t>
      </w:r>
      <w:r w:rsidR="00F43339" w:rsidRPr="000430DB">
        <w:rPr>
          <w:rFonts w:ascii="PT Serif" w:hAnsi="PT Serif" w:cs="Times New Roman"/>
          <w:sz w:val="24"/>
          <w:szCs w:val="24"/>
        </w:rPr>
        <w:t xml:space="preserve"> fue considerada por la CoIDH</w:t>
      </w:r>
      <w:r w:rsidR="00FF0BED" w:rsidRPr="000430DB">
        <w:rPr>
          <w:rFonts w:ascii="PT Serif" w:hAnsi="PT Serif" w:cs="Times New Roman"/>
          <w:sz w:val="24"/>
          <w:szCs w:val="24"/>
        </w:rPr>
        <w:t>, en la supervisión de sentencia realizada el 19 de mayo de</w:t>
      </w:r>
      <w:r w:rsidR="005516B8" w:rsidRPr="000430DB">
        <w:rPr>
          <w:rFonts w:ascii="PT Serif" w:hAnsi="PT Serif" w:cs="Times New Roman"/>
          <w:sz w:val="24"/>
          <w:szCs w:val="24"/>
        </w:rPr>
        <w:t xml:space="preserve"> </w:t>
      </w:r>
      <w:r w:rsidR="00FF0BED" w:rsidRPr="000430DB">
        <w:rPr>
          <w:rFonts w:ascii="PT Serif" w:hAnsi="PT Serif" w:cs="Times New Roman"/>
          <w:sz w:val="24"/>
          <w:szCs w:val="24"/>
        </w:rPr>
        <w:t xml:space="preserve">2011, </w:t>
      </w:r>
      <w:r w:rsidR="00F43339" w:rsidRPr="000430DB">
        <w:rPr>
          <w:rFonts w:ascii="PT Serif" w:hAnsi="PT Serif" w:cs="Times New Roman"/>
          <w:sz w:val="24"/>
          <w:szCs w:val="24"/>
        </w:rPr>
        <w:t>incompleta</w:t>
      </w:r>
      <w:r w:rsidR="00FF0BED" w:rsidRPr="000430DB">
        <w:rPr>
          <w:rFonts w:ascii="PT Serif" w:hAnsi="PT Serif" w:cs="Times New Roman"/>
          <w:sz w:val="24"/>
          <w:szCs w:val="24"/>
        </w:rPr>
        <w:t xml:space="preserve"> pues la exigencia de la </w:t>
      </w:r>
      <w:r w:rsidR="00686909" w:rsidRPr="000430DB">
        <w:rPr>
          <w:rFonts w:ascii="PT Serif" w:hAnsi="PT Serif" w:cs="Times New Roman"/>
          <w:sz w:val="24"/>
          <w:szCs w:val="24"/>
        </w:rPr>
        <w:t>resolución</w:t>
      </w:r>
      <w:r w:rsidR="00FF0BED" w:rsidRPr="000430DB">
        <w:rPr>
          <w:rFonts w:ascii="PT Serif" w:hAnsi="PT Serif" w:cs="Times New Roman"/>
          <w:sz w:val="24"/>
          <w:szCs w:val="24"/>
        </w:rPr>
        <w:t xml:space="preserve"> condenatoria constituía</w:t>
      </w:r>
      <w:r w:rsidR="006D145D">
        <w:rPr>
          <w:rFonts w:ascii="PT Serif" w:hAnsi="PT Serif" w:cs="Times New Roman"/>
          <w:sz w:val="24"/>
          <w:szCs w:val="24"/>
        </w:rPr>
        <w:t xml:space="preserve"> en</w:t>
      </w:r>
      <w:r w:rsidR="00FF0BED" w:rsidRPr="000430DB">
        <w:rPr>
          <w:rFonts w:ascii="PT Serif" w:hAnsi="PT Serif" w:cs="Times New Roman"/>
          <w:sz w:val="24"/>
          <w:szCs w:val="24"/>
        </w:rPr>
        <w:t xml:space="preserve"> una modificación para evitar que la jurisdicción militar se </w:t>
      </w:r>
      <w:r w:rsidR="00F43339" w:rsidRPr="000430DB">
        <w:rPr>
          <w:rFonts w:ascii="PT Serif" w:hAnsi="PT Serif" w:cs="Times New Roman"/>
          <w:sz w:val="24"/>
          <w:szCs w:val="24"/>
        </w:rPr>
        <w:t>actualizase</w:t>
      </w:r>
      <w:r w:rsidR="00FF0BED" w:rsidRPr="000430DB">
        <w:rPr>
          <w:rFonts w:ascii="PT Serif" w:hAnsi="PT Serif" w:cs="Times New Roman"/>
          <w:sz w:val="24"/>
          <w:szCs w:val="24"/>
        </w:rPr>
        <w:t xml:space="preserve"> ante cualquier previsto de violación de derechos humanos, no solamente en unos cuantos casos; sumado a qu</w:t>
      </w:r>
      <w:r w:rsidR="00F43339" w:rsidRPr="000430DB">
        <w:rPr>
          <w:rFonts w:ascii="PT Serif" w:hAnsi="PT Serif" w:cs="Times New Roman"/>
          <w:sz w:val="24"/>
          <w:szCs w:val="24"/>
        </w:rPr>
        <w:t>e se reiteraba que el fuero militar solamente puede juzgar delitos o faltas cometidos por militares activos que atenten contra bienes jurídicos exclusivamente del orden militar</w:t>
      </w:r>
      <w:r w:rsidR="00F1718A" w:rsidRPr="000430DB">
        <w:rPr>
          <w:rFonts w:ascii="PT Serif" w:hAnsi="PT Serif" w:cs="Times New Roman"/>
          <w:sz w:val="24"/>
          <w:szCs w:val="24"/>
        </w:rPr>
        <w:t xml:space="preserve"> (CoIDH, 2011, párr. 19)</w:t>
      </w:r>
      <w:r w:rsidR="00F43339" w:rsidRPr="000430DB">
        <w:rPr>
          <w:rFonts w:ascii="PT Serif" w:hAnsi="PT Serif" w:cs="Times New Roman"/>
          <w:sz w:val="24"/>
          <w:szCs w:val="24"/>
        </w:rPr>
        <w:t xml:space="preserve">. </w:t>
      </w:r>
    </w:p>
    <w:p w14:paraId="08A2B309" w14:textId="70C57D71" w:rsidR="001673CE" w:rsidRPr="001673CE" w:rsidRDefault="001673CE" w:rsidP="003A06AA">
      <w:pPr>
        <w:spacing w:line="360" w:lineRule="auto"/>
        <w:ind w:firstLine="720"/>
        <w:jc w:val="both"/>
        <w:rPr>
          <w:rFonts w:ascii="PT Serif" w:hAnsi="PT Serif" w:cs="Times New Roman"/>
          <w:sz w:val="24"/>
          <w:szCs w:val="24"/>
        </w:rPr>
      </w:pPr>
      <w:r w:rsidRPr="001673CE">
        <w:rPr>
          <w:rFonts w:ascii="PT Serif" w:hAnsi="PT Serif" w:cs="Times New Roman"/>
          <w:sz w:val="24"/>
          <w:szCs w:val="24"/>
        </w:rPr>
        <w:t xml:space="preserve">Bajo este razonamiento, el 13 de junio de 2014, el Estado mexicano publicó un decreto de reforma a diversos cuerpos normativos, incluido el Código de Justicia Militar y su artículo 57. Sin embargo, la reforma resultó insuficiente, pues la CoIDH siguió considerando su cumplimiento como parcial </w:t>
      </w:r>
      <w:r w:rsidR="00953054">
        <w:rPr>
          <w:rFonts w:ascii="PT Serif" w:hAnsi="PT Serif" w:cs="Times New Roman"/>
          <w:sz w:val="24"/>
          <w:szCs w:val="24"/>
        </w:rPr>
        <w:t>al seguir inexistiendo una</w:t>
      </w:r>
      <w:r w:rsidRPr="001673CE">
        <w:rPr>
          <w:rFonts w:ascii="PT Serif" w:hAnsi="PT Serif" w:cs="Times New Roman"/>
          <w:sz w:val="24"/>
          <w:szCs w:val="24"/>
        </w:rPr>
        <w:t xml:space="preserve"> </w:t>
      </w:r>
      <w:r w:rsidR="00953054">
        <w:rPr>
          <w:rFonts w:ascii="PT Serif" w:hAnsi="PT Serif" w:cs="Times New Roman"/>
          <w:sz w:val="24"/>
          <w:szCs w:val="24"/>
        </w:rPr>
        <w:t>garantía sobre</w:t>
      </w:r>
      <w:r w:rsidRPr="001673CE">
        <w:rPr>
          <w:rFonts w:ascii="PT Serif" w:hAnsi="PT Serif" w:cs="Times New Roman"/>
          <w:sz w:val="24"/>
          <w:szCs w:val="24"/>
        </w:rPr>
        <w:t xml:space="preserve"> la exclusión de la jurisdicción militar en casos de violaciones a derechos humanos cometidas por las fuerzas armadas contra civiles (CoIDH, 2022).</w:t>
      </w:r>
    </w:p>
    <w:p w14:paraId="6EB4B36B" w14:textId="46003BA7" w:rsidR="00887B51" w:rsidRPr="000430DB" w:rsidRDefault="0041406C" w:rsidP="003A06AA">
      <w:pPr>
        <w:spacing w:line="360" w:lineRule="auto"/>
        <w:ind w:firstLine="720"/>
        <w:jc w:val="both"/>
        <w:rPr>
          <w:rFonts w:ascii="PT Serif" w:hAnsi="PT Serif" w:cs="Times New Roman"/>
          <w:sz w:val="24"/>
          <w:szCs w:val="24"/>
        </w:rPr>
      </w:pPr>
      <w:r w:rsidRPr="0041406C">
        <w:rPr>
          <w:rFonts w:ascii="PT Serif" w:hAnsi="PT Serif" w:cs="Times New Roman"/>
          <w:sz w:val="24"/>
          <w:szCs w:val="24"/>
        </w:rPr>
        <w:t xml:space="preserve">Han transcurrido casi </w:t>
      </w:r>
      <w:r w:rsidR="000B07C6">
        <w:rPr>
          <w:rFonts w:ascii="PT Serif" w:hAnsi="PT Serif" w:cs="Times New Roman"/>
          <w:sz w:val="24"/>
          <w:szCs w:val="24"/>
        </w:rPr>
        <w:t>dieciséis</w:t>
      </w:r>
      <w:r w:rsidRPr="0041406C">
        <w:rPr>
          <w:rFonts w:ascii="PT Serif" w:hAnsi="PT Serif" w:cs="Times New Roman"/>
          <w:sz w:val="24"/>
          <w:szCs w:val="24"/>
        </w:rPr>
        <w:t xml:space="preserve"> años y </w:t>
      </w:r>
      <w:r w:rsidR="000B07C6">
        <w:rPr>
          <w:rFonts w:ascii="PT Serif" w:hAnsi="PT Serif" w:cs="Times New Roman"/>
          <w:sz w:val="24"/>
          <w:szCs w:val="24"/>
        </w:rPr>
        <w:t>seis</w:t>
      </w:r>
      <w:r w:rsidRPr="0041406C">
        <w:rPr>
          <w:rFonts w:ascii="PT Serif" w:hAnsi="PT Serif" w:cs="Times New Roman"/>
          <w:sz w:val="24"/>
          <w:szCs w:val="24"/>
        </w:rPr>
        <w:t xml:space="preserve"> supervisiones de cumplimiento, y la medida sigue sin ejecutarse plenamente. Esto no s</w:t>
      </w:r>
      <w:r w:rsidR="000B07C6">
        <w:rPr>
          <w:rFonts w:ascii="PT Serif" w:hAnsi="PT Serif" w:cs="Times New Roman"/>
          <w:sz w:val="24"/>
          <w:szCs w:val="24"/>
        </w:rPr>
        <w:t>ó</w:t>
      </w:r>
      <w:r w:rsidRPr="0041406C">
        <w:rPr>
          <w:rFonts w:ascii="PT Serif" w:hAnsi="PT Serif" w:cs="Times New Roman"/>
          <w:sz w:val="24"/>
          <w:szCs w:val="24"/>
        </w:rPr>
        <w:t xml:space="preserve">lo evidencia una falta de eficacia legislativa, sino que también refleja la persistencia de violaciones a los derechos humanos. Durante este periodo, el fuero militar ha seguido conociendo casos de </w:t>
      </w:r>
      <w:r w:rsidRPr="0041406C">
        <w:rPr>
          <w:rFonts w:ascii="PT Serif" w:hAnsi="PT Serif" w:cs="Times New Roman"/>
          <w:sz w:val="24"/>
          <w:szCs w:val="24"/>
        </w:rPr>
        <w:lastRenderedPageBreak/>
        <w:t xml:space="preserve">vulneraciones distintas a la desaparición forzada, la violencia sexual y la tortura, </w:t>
      </w:r>
      <w:r>
        <w:rPr>
          <w:rFonts w:ascii="PT Serif" w:hAnsi="PT Serif" w:cs="Times New Roman"/>
          <w:sz w:val="24"/>
          <w:szCs w:val="24"/>
        </w:rPr>
        <w:t xml:space="preserve">lo cual presupone que se ha seguido </w:t>
      </w:r>
      <w:r w:rsidRPr="0041406C">
        <w:rPr>
          <w:rFonts w:ascii="PT Serif" w:hAnsi="PT Serif" w:cs="Times New Roman"/>
          <w:sz w:val="24"/>
          <w:szCs w:val="24"/>
        </w:rPr>
        <w:t>perpetuando un esquema de impunidad</w:t>
      </w:r>
      <w:r w:rsidR="000278F8" w:rsidRPr="000430DB">
        <w:rPr>
          <w:rStyle w:val="Refdenotaalpie"/>
          <w:rFonts w:ascii="PT Serif" w:hAnsi="PT Serif" w:cs="Times New Roman"/>
          <w:sz w:val="24"/>
          <w:szCs w:val="24"/>
        </w:rPr>
        <w:footnoteReference w:id="14"/>
      </w:r>
      <w:r w:rsidR="000278F8" w:rsidRPr="000430DB">
        <w:rPr>
          <w:rFonts w:ascii="PT Serif" w:hAnsi="PT Serif" w:cs="Times New Roman"/>
          <w:sz w:val="24"/>
          <w:szCs w:val="24"/>
        </w:rPr>
        <w:t xml:space="preserve">.  </w:t>
      </w:r>
    </w:p>
    <w:p w14:paraId="129DC14F" w14:textId="7D108DFE" w:rsidR="00887B51" w:rsidRPr="000430DB" w:rsidRDefault="00F468F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Por otro lado, d</w:t>
      </w:r>
      <w:r w:rsidR="00273006" w:rsidRPr="000430DB">
        <w:rPr>
          <w:rFonts w:ascii="PT Serif" w:hAnsi="PT Serif" w:cs="Times New Roman"/>
          <w:sz w:val="24"/>
          <w:szCs w:val="24"/>
        </w:rPr>
        <w:t xml:space="preserve">entro del caso Alvarado Espinoza, siguiendo la línea prevista en la reiterada tabla de supervisión, </w:t>
      </w:r>
      <w:r w:rsidR="00EE13D6" w:rsidRPr="000430DB">
        <w:rPr>
          <w:rFonts w:ascii="PT Serif" w:hAnsi="PT Serif" w:cs="Times New Roman"/>
          <w:sz w:val="24"/>
          <w:szCs w:val="24"/>
        </w:rPr>
        <w:t>referimos</w:t>
      </w:r>
      <w:r w:rsidR="00273006" w:rsidRPr="000430DB">
        <w:rPr>
          <w:rFonts w:ascii="PT Serif" w:hAnsi="PT Serif" w:cs="Times New Roman"/>
          <w:sz w:val="24"/>
          <w:szCs w:val="24"/>
        </w:rPr>
        <w:t xml:space="preserve"> la falta de cumplimiento de </w:t>
      </w:r>
      <w:r w:rsidR="000B07C6">
        <w:rPr>
          <w:rFonts w:ascii="PT Serif" w:hAnsi="PT Serif" w:cs="Times New Roman"/>
          <w:sz w:val="24"/>
          <w:szCs w:val="24"/>
        </w:rPr>
        <w:t>seis de las diez medidas de reparación establecidas por la CoIDH</w:t>
      </w:r>
      <w:r w:rsidR="00273006" w:rsidRPr="000430DB">
        <w:rPr>
          <w:rFonts w:ascii="PT Serif" w:hAnsi="PT Serif" w:cs="Times New Roman"/>
          <w:sz w:val="24"/>
          <w:szCs w:val="24"/>
        </w:rPr>
        <w:t xml:space="preserve">. </w:t>
      </w:r>
    </w:p>
    <w:p w14:paraId="22BDB474" w14:textId="30090DDB" w:rsidR="00887B51" w:rsidRPr="000430DB" w:rsidRDefault="00F468F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Aunado a ello</w:t>
      </w:r>
      <w:r w:rsidR="00273006" w:rsidRPr="000430DB">
        <w:rPr>
          <w:rFonts w:ascii="PT Serif" w:hAnsi="PT Serif" w:cs="Times New Roman"/>
          <w:sz w:val="24"/>
          <w:szCs w:val="24"/>
        </w:rPr>
        <w:t xml:space="preserve">, guarda especial relevancia la resolución emitida el 27 de noviembre de 2024 sobre una solicitud de medidas provisionales y la supervisión de cumplimiento de sentencia, </w:t>
      </w:r>
      <w:r w:rsidR="00EE13D6" w:rsidRPr="000430DB">
        <w:rPr>
          <w:rFonts w:ascii="PT Serif" w:hAnsi="PT Serif" w:cs="Times New Roman"/>
          <w:sz w:val="24"/>
          <w:szCs w:val="24"/>
        </w:rPr>
        <w:t xml:space="preserve">en </w:t>
      </w:r>
      <w:r w:rsidR="001D575C">
        <w:rPr>
          <w:rFonts w:ascii="PT Serif" w:hAnsi="PT Serif" w:cs="Times New Roman"/>
          <w:sz w:val="24"/>
          <w:szCs w:val="24"/>
        </w:rPr>
        <w:t xml:space="preserve">el sentido </w:t>
      </w:r>
      <w:r w:rsidR="00EE13D6" w:rsidRPr="000430DB">
        <w:rPr>
          <w:rFonts w:ascii="PT Serif" w:hAnsi="PT Serif" w:cs="Times New Roman"/>
          <w:sz w:val="24"/>
          <w:szCs w:val="24"/>
        </w:rPr>
        <w:t>de que</w:t>
      </w:r>
      <w:r w:rsidR="00273006" w:rsidRPr="000430DB">
        <w:rPr>
          <w:rFonts w:ascii="PT Serif" w:hAnsi="PT Serif" w:cs="Times New Roman"/>
          <w:sz w:val="24"/>
          <w:szCs w:val="24"/>
        </w:rPr>
        <w:t xml:space="preserve"> </w:t>
      </w:r>
      <w:r w:rsidR="00EE13D6" w:rsidRPr="000430DB">
        <w:rPr>
          <w:rFonts w:ascii="PT Serif" w:hAnsi="PT Serif" w:cs="Times New Roman"/>
          <w:sz w:val="24"/>
          <w:szCs w:val="24"/>
        </w:rPr>
        <w:t xml:space="preserve">las precisiones establecidas en la revisión </w:t>
      </w:r>
      <w:r w:rsidR="00273006" w:rsidRPr="000430DB">
        <w:rPr>
          <w:rFonts w:ascii="PT Serif" w:hAnsi="PT Serif" w:cs="Times New Roman"/>
          <w:sz w:val="24"/>
          <w:szCs w:val="24"/>
        </w:rPr>
        <w:t>viene</w:t>
      </w:r>
      <w:r w:rsidR="00DC0F29" w:rsidRPr="000430DB">
        <w:rPr>
          <w:rFonts w:ascii="PT Serif" w:hAnsi="PT Serif" w:cs="Times New Roman"/>
          <w:sz w:val="24"/>
          <w:szCs w:val="24"/>
        </w:rPr>
        <w:t>n</w:t>
      </w:r>
      <w:r w:rsidR="00273006" w:rsidRPr="000430DB">
        <w:rPr>
          <w:rFonts w:ascii="PT Serif" w:hAnsi="PT Serif" w:cs="Times New Roman"/>
          <w:sz w:val="24"/>
          <w:szCs w:val="24"/>
        </w:rPr>
        <w:t xml:space="preserve"> a colocarse como un caso semejante</w:t>
      </w:r>
      <w:r w:rsidR="00EE13D6" w:rsidRPr="000430DB">
        <w:rPr>
          <w:rFonts w:ascii="PT Serif" w:hAnsi="PT Serif" w:cs="Times New Roman"/>
          <w:sz w:val="24"/>
          <w:szCs w:val="24"/>
        </w:rPr>
        <w:t xml:space="preserve"> a lo ocurrido dentro  del contexto de cumplimiento del caso La Cantuta por cuanto hace a los efectos de las actuaciones realizadas por autoridades estatales que pudieran generar una irreparabilidad en el daño de las víctimas y una afectación directa a los estándares fijados en la sentencia condenatoria.   </w:t>
      </w:r>
    </w:p>
    <w:p w14:paraId="669D8024" w14:textId="6BD2CE11" w:rsidR="00887B51" w:rsidRPr="000430DB" w:rsidRDefault="00DC0F29"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La CoIDH había recibido una solicitud para que </w:t>
      </w:r>
      <w:r w:rsidR="005D3EEE" w:rsidRPr="000430DB">
        <w:rPr>
          <w:rFonts w:ascii="PT Serif" w:hAnsi="PT Serif" w:cs="Times New Roman"/>
          <w:sz w:val="24"/>
          <w:szCs w:val="24"/>
        </w:rPr>
        <w:t xml:space="preserve">emitiese </w:t>
      </w:r>
      <w:r w:rsidRPr="000430DB">
        <w:rPr>
          <w:rFonts w:ascii="PT Serif" w:hAnsi="PT Serif" w:cs="Times New Roman"/>
          <w:sz w:val="24"/>
          <w:szCs w:val="24"/>
        </w:rPr>
        <w:t xml:space="preserve">medidas provisionales que </w:t>
      </w:r>
      <w:r w:rsidR="005D3EEE" w:rsidRPr="000430DB">
        <w:rPr>
          <w:rFonts w:ascii="PT Serif" w:hAnsi="PT Serif" w:cs="Times New Roman"/>
          <w:sz w:val="24"/>
          <w:szCs w:val="24"/>
        </w:rPr>
        <w:t>impidieran la publicación y</w:t>
      </w:r>
      <w:r w:rsidR="00D70B7E" w:rsidRPr="000430DB">
        <w:rPr>
          <w:rFonts w:ascii="PT Serif" w:hAnsi="PT Serif" w:cs="Times New Roman"/>
          <w:sz w:val="24"/>
          <w:szCs w:val="24"/>
        </w:rPr>
        <w:t xml:space="preserve">, </w:t>
      </w:r>
      <w:r w:rsidR="005D3EEE" w:rsidRPr="000430DB">
        <w:rPr>
          <w:rFonts w:ascii="PT Serif" w:hAnsi="PT Serif" w:cs="Times New Roman"/>
          <w:sz w:val="24"/>
          <w:szCs w:val="24"/>
        </w:rPr>
        <w:t>en su caso</w:t>
      </w:r>
      <w:r w:rsidR="00D70B7E" w:rsidRPr="000430DB">
        <w:rPr>
          <w:rFonts w:ascii="PT Serif" w:hAnsi="PT Serif" w:cs="Times New Roman"/>
          <w:sz w:val="24"/>
          <w:szCs w:val="24"/>
        </w:rPr>
        <w:t>,</w:t>
      </w:r>
      <w:r w:rsidR="005D3EEE" w:rsidRPr="000430DB">
        <w:rPr>
          <w:rFonts w:ascii="PT Serif" w:hAnsi="PT Serif" w:cs="Times New Roman"/>
          <w:sz w:val="24"/>
          <w:szCs w:val="24"/>
        </w:rPr>
        <w:t xml:space="preserve"> dejar sin efectos una reforma constitucional a los artículos 13, 16, 21, 32, 55, 73, 76, 78, 82, 89, 123 y 129 de la Constitución Política de los Estados Unidos Mexicanos (CPEUM), en materia de Guardia Nacional</w:t>
      </w:r>
      <w:r w:rsidR="000B07C6">
        <w:rPr>
          <w:rStyle w:val="Refdenotaalpie"/>
          <w:rFonts w:ascii="PT Serif" w:hAnsi="PT Serif" w:cs="Times New Roman"/>
          <w:sz w:val="24"/>
          <w:szCs w:val="24"/>
        </w:rPr>
        <w:footnoteReference w:id="15"/>
      </w:r>
      <w:r w:rsidR="005D3EEE" w:rsidRPr="000430DB">
        <w:rPr>
          <w:rFonts w:ascii="PT Serif" w:hAnsi="PT Serif" w:cs="Times New Roman"/>
          <w:sz w:val="24"/>
          <w:szCs w:val="24"/>
        </w:rPr>
        <w:t xml:space="preserve">. El motivo de esta solicitud contra la reforma, que ya se encuentra </w:t>
      </w:r>
      <w:r w:rsidR="005D3EEE" w:rsidRPr="000430DB">
        <w:rPr>
          <w:rFonts w:ascii="PT Serif" w:hAnsi="PT Serif" w:cs="Times New Roman"/>
          <w:sz w:val="24"/>
          <w:szCs w:val="24"/>
        </w:rPr>
        <w:lastRenderedPageBreak/>
        <w:t>como derecho vigente, deriva de que a est</w:t>
      </w:r>
      <w:r w:rsidR="00BF5FEB">
        <w:rPr>
          <w:rFonts w:ascii="PT Serif" w:hAnsi="PT Serif" w:cs="Times New Roman"/>
          <w:sz w:val="24"/>
          <w:szCs w:val="24"/>
        </w:rPr>
        <w:t xml:space="preserve">a institución </w:t>
      </w:r>
      <w:r w:rsidR="005D3EEE" w:rsidRPr="000430DB">
        <w:rPr>
          <w:rFonts w:ascii="PT Serif" w:hAnsi="PT Serif" w:cs="Times New Roman"/>
          <w:sz w:val="24"/>
          <w:szCs w:val="24"/>
        </w:rPr>
        <w:t xml:space="preserve">se </w:t>
      </w:r>
      <w:r w:rsidR="00B40D9D">
        <w:rPr>
          <w:rFonts w:ascii="PT Serif" w:hAnsi="PT Serif" w:cs="Times New Roman"/>
          <w:sz w:val="24"/>
          <w:szCs w:val="24"/>
        </w:rPr>
        <w:t>le</w:t>
      </w:r>
      <w:r w:rsidR="00302629">
        <w:rPr>
          <w:rFonts w:ascii="PT Serif" w:hAnsi="PT Serif" w:cs="Times New Roman"/>
          <w:sz w:val="24"/>
          <w:szCs w:val="24"/>
        </w:rPr>
        <w:t xml:space="preserve"> eliminó </w:t>
      </w:r>
      <w:r w:rsidR="005D3EEE" w:rsidRPr="000430DB">
        <w:rPr>
          <w:rFonts w:ascii="PT Serif" w:hAnsi="PT Serif" w:cs="Times New Roman"/>
          <w:sz w:val="24"/>
          <w:szCs w:val="24"/>
        </w:rPr>
        <w:t xml:space="preserve">su carácter civil y </w:t>
      </w:r>
      <w:r w:rsidR="00302629">
        <w:rPr>
          <w:rFonts w:ascii="PT Serif" w:hAnsi="PT Serif" w:cs="Times New Roman"/>
          <w:sz w:val="24"/>
          <w:szCs w:val="24"/>
        </w:rPr>
        <w:t>se le extendió</w:t>
      </w:r>
      <w:r w:rsidR="005D3EEE" w:rsidRPr="000430DB">
        <w:rPr>
          <w:rFonts w:ascii="PT Serif" w:hAnsi="PT Serif" w:cs="Times New Roman"/>
          <w:sz w:val="24"/>
          <w:szCs w:val="24"/>
        </w:rPr>
        <w:t xml:space="preserve"> su fuero al militar, sin dejar de lado que</w:t>
      </w:r>
      <w:r w:rsidR="000B07C6">
        <w:rPr>
          <w:rFonts w:ascii="PT Serif" w:hAnsi="PT Serif" w:cs="Times New Roman"/>
          <w:sz w:val="24"/>
          <w:szCs w:val="24"/>
        </w:rPr>
        <w:t>, dentro de otra reforma</w:t>
      </w:r>
      <w:r w:rsidR="000B07C6">
        <w:rPr>
          <w:rStyle w:val="Refdenotaalpie"/>
          <w:rFonts w:ascii="PT Serif" w:hAnsi="PT Serif" w:cs="Times New Roman"/>
          <w:sz w:val="24"/>
          <w:szCs w:val="24"/>
        </w:rPr>
        <w:footnoteReference w:id="16"/>
      </w:r>
      <w:r w:rsidR="000B07C6">
        <w:rPr>
          <w:rFonts w:ascii="PT Serif" w:hAnsi="PT Serif" w:cs="Times New Roman"/>
          <w:sz w:val="24"/>
          <w:szCs w:val="24"/>
        </w:rPr>
        <w:t xml:space="preserve">, </w:t>
      </w:r>
      <w:r w:rsidR="005D3EEE" w:rsidRPr="000430DB">
        <w:rPr>
          <w:rFonts w:ascii="PT Serif" w:hAnsi="PT Serif" w:cs="Times New Roman"/>
          <w:sz w:val="24"/>
          <w:szCs w:val="24"/>
        </w:rPr>
        <w:t xml:space="preserve">también se le concedió la facultad de investigar delitos. </w:t>
      </w:r>
    </w:p>
    <w:p w14:paraId="6E321FA0" w14:textId="107EAC1D" w:rsidR="005D3EEE" w:rsidRPr="000430DB" w:rsidRDefault="00AB361B"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Los representantes de las víctimas adujeron que tal decisión legislativa violenta de forma </w:t>
      </w:r>
      <w:r w:rsidR="00D20F4A" w:rsidRPr="000430DB">
        <w:rPr>
          <w:rFonts w:ascii="PT Serif" w:hAnsi="PT Serif" w:cs="Times New Roman"/>
          <w:sz w:val="24"/>
          <w:szCs w:val="24"/>
        </w:rPr>
        <w:t>crítica</w:t>
      </w:r>
      <w:r w:rsidRPr="000430DB">
        <w:rPr>
          <w:rFonts w:ascii="PT Serif" w:hAnsi="PT Serif" w:cs="Times New Roman"/>
          <w:sz w:val="24"/>
          <w:szCs w:val="24"/>
        </w:rPr>
        <w:t xml:space="preserve"> los estándares desarrollados en los párrafos 182 y 183 de la sentencia en cuestión en cuanto hace a:</w:t>
      </w:r>
    </w:p>
    <w:p w14:paraId="034A1FB7" w14:textId="11BB93AB" w:rsidR="00887B51" w:rsidRPr="000430DB" w:rsidRDefault="00887B51" w:rsidP="007B0ED6">
      <w:pPr>
        <w:spacing w:line="360" w:lineRule="auto"/>
        <w:ind w:left="720"/>
        <w:jc w:val="both"/>
        <w:rPr>
          <w:rFonts w:ascii="PT Serif" w:hAnsi="PT Serif" w:cs="Times New Roman"/>
          <w:sz w:val="24"/>
          <w:szCs w:val="24"/>
        </w:rPr>
      </w:pPr>
      <w:r w:rsidRPr="000430DB">
        <w:rPr>
          <w:rFonts w:ascii="PT Serif" w:hAnsi="PT Serif" w:cs="Times New Roman"/>
          <w:sz w:val="24"/>
          <w:szCs w:val="24"/>
        </w:rPr>
        <w:t>[…] la excepcionalidad de la participación de las fuerzas armadas en tareas de seguridad ciudadana, las cuales por regla general deben estar primariamente reservadas a los cuerpos policiales civiles y los estándares relativos a que las denuncias de violaciones a derechos humanos deben ser ventiladas ante la jurisdicción ordinaria y no la militar. (CoIDH, 2024, p.</w:t>
      </w:r>
      <w:r w:rsidR="003A06AA">
        <w:rPr>
          <w:rFonts w:ascii="PT Serif" w:hAnsi="PT Serif" w:cs="Times New Roman"/>
          <w:sz w:val="24"/>
          <w:szCs w:val="24"/>
        </w:rPr>
        <w:t xml:space="preserve"> </w:t>
      </w:r>
      <w:r w:rsidRPr="000430DB">
        <w:rPr>
          <w:rFonts w:ascii="PT Serif" w:hAnsi="PT Serif" w:cs="Times New Roman"/>
          <w:sz w:val="24"/>
          <w:szCs w:val="24"/>
        </w:rPr>
        <w:t>3)</w:t>
      </w:r>
    </w:p>
    <w:p w14:paraId="6F127DCA" w14:textId="7BE5ACE5" w:rsidR="00887B51" w:rsidRPr="000430DB" w:rsidRDefault="00AB361B"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Sin dejar de lado </w:t>
      </w:r>
      <w:r w:rsidR="00D20F4A" w:rsidRPr="000430DB">
        <w:rPr>
          <w:rFonts w:ascii="PT Serif" w:hAnsi="PT Serif" w:cs="Times New Roman"/>
          <w:sz w:val="24"/>
          <w:szCs w:val="24"/>
        </w:rPr>
        <w:t xml:space="preserve">la declaración </w:t>
      </w:r>
      <w:r w:rsidRPr="000430DB">
        <w:rPr>
          <w:rFonts w:ascii="PT Serif" w:hAnsi="PT Serif" w:cs="Times New Roman"/>
          <w:sz w:val="24"/>
          <w:szCs w:val="24"/>
        </w:rPr>
        <w:t>de que la implementación de tal reforma complicaría más el cumplimiento de las medidas reparatorias, enfáticamente a la investigación de los hechos, la búsqueda de las v</w:t>
      </w:r>
      <w:r w:rsidR="00BF5FEB">
        <w:rPr>
          <w:rFonts w:ascii="PT Serif" w:hAnsi="PT Serif" w:cs="Times New Roman"/>
          <w:sz w:val="24"/>
          <w:szCs w:val="24"/>
        </w:rPr>
        <w:t>í</w:t>
      </w:r>
      <w:r w:rsidRPr="000430DB">
        <w:rPr>
          <w:rFonts w:ascii="PT Serif" w:hAnsi="PT Serif" w:cs="Times New Roman"/>
          <w:sz w:val="24"/>
          <w:szCs w:val="24"/>
        </w:rPr>
        <w:t xml:space="preserve">ctimas desaparecidas y la protección de las víctimas indirectas y </w:t>
      </w:r>
      <w:r w:rsidR="000D14D4" w:rsidRPr="000430DB">
        <w:rPr>
          <w:rFonts w:ascii="PT Serif" w:hAnsi="PT Serif" w:cs="Times New Roman"/>
          <w:sz w:val="24"/>
          <w:szCs w:val="24"/>
        </w:rPr>
        <w:t xml:space="preserve">su </w:t>
      </w:r>
      <w:r w:rsidRPr="000430DB">
        <w:rPr>
          <w:rFonts w:ascii="PT Serif" w:hAnsi="PT Serif" w:cs="Times New Roman"/>
          <w:sz w:val="24"/>
          <w:szCs w:val="24"/>
        </w:rPr>
        <w:t xml:space="preserve">eventual retorno. </w:t>
      </w:r>
    </w:p>
    <w:p w14:paraId="68C32430" w14:textId="773BAF6E" w:rsidR="00887B51" w:rsidRPr="000430DB" w:rsidRDefault="00AB361B"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Ahora bien, pasaría desapercibida esta circunstancia en el desarrollo en cuestión si no fuera que la CoIDH</w:t>
      </w:r>
      <w:r w:rsidR="00F05661" w:rsidRPr="000430DB">
        <w:rPr>
          <w:rFonts w:ascii="PT Serif" w:hAnsi="PT Serif" w:cs="Times New Roman"/>
          <w:sz w:val="24"/>
          <w:szCs w:val="24"/>
        </w:rPr>
        <w:t xml:space="preserve"> determinó</w:t>
      </w:r>
      <w:r w:rsidRPr="000430DB">
        <w:rPr>
          <w:rFonts w:ascii="PT Serif" w:hAnsi="PT Serif" w:cs="Times New Roman"/>
          <w:sz w:val="24"/>
          <w:szCs w:val="24"/>
        </w:rPr>
        <w:t xml:space="preserve">, </w:t>
      </w:r>
      <w:r w:rsidR="000D14D4" w:rsidRPr="000430DB">
        <w:rPr>
          <w:rFonts w:ascii="PT Serif" w:hAnsi="PT Serif" w:cs="Times New Roman"/>
          <w:sz w:val="24"/>
          <w:szCs w:val="24"/>
        </w:rPr>
        <w:t xml:space="preserve">derivado de </w:t>
      </w:r>
      <w:r w:rsidRPr="000430DB">
        <w:rPr>
          <w:rFonts w:ascii="PT Serif" w:hAnsi="PT Serif" w:cs="Times New Roman"/>
          <w:sz w:val="24"/>
          <w:szCs w:val="24"/>
        </w:rPr>
        <w:t xml:space="preserve">la imposibilidad de decretar medidas provisionales </w:t>
      </w:r>
      <w:r w:rsidR="000D14D4" w:rsidRPr="000430DB">
        <w:rPr>
          <w:rFonts w:ascii="PT Serif" w:hAnsi="PT Serif" w:cs="Times New Roman"/>
          <w:sz w:val="24"/>
          <w:szCs w:val="24"/>
        </w:rPr>
        <w:t>en razón</w:t>
      </w:r>
      <w:r w:rsidR="00F05661" w:rsidRPr="000430DB">
        <w:rPr>
          <w:rFonts w:ascii="PT Serif" w:hAnsi="PT Serif" w:cs="Times New Roman"/>
          <w:sz w:val="24"/>
          <w:szCs w:val="24"/>
        </w:rPr>
        <w:t xml:space="preserve"> a que la reforma ya fue</w:t>
      </w:r>
      <w:r w:rsidRPr="000430DB">
        <w:rPr>
          <w:rFonts w:ascii="PT Serif" w:hAnsi="PT Serif" w:cs="Times New Roman"/>
          <w:sz w:val="24"/>
          <w:szCs w:val="24"/>
        </w:rPr>
        <w:t xml:space="preserve"> publicad</w:t>
      </w:r>
      <w:r w:rsidR="00F05661" w:rsidRPr="000430DB">
        <w:rPr>
          <w:rFonts w:ascii="PT Serif" w:hAnsi="PT Serif" w:cs="Times New Roman"/>
          <w:sz w:val="24"/>
          <w:szCs w:val="24"/>
        </w:rPr>
        <w:t xml:space="preserve">a, </w:t>
      </w:r>
      <w:r w:rsidR="000D14D4" w:rsidRPr="000430DB">
        <w:rPr>
          <w:rFonts w:ascii="PT Serif" w:hAnsi="PT Serif" w:cs="Times New Roman"/>
          <w:sz w:val="24"/>
          <w:szCs w:val="24"/>
        </w:rPr>
        <w:t>la fijación de una</w:t>
      </w:r>
      <w:r w:rsidRPr="000430DB">
        <w:rPr>
          <w:rFonts w:ascii="PT Serif" w:hAnsi="PT Serif" w:cs="Times New Roman"/>
          <w:sz w:val="24"/>
          <w:szCs w:val="24"/>
        </w:rPr>
        <w:t xml:space="preserve"> audiencia pública </w:t>
      </w:r>
      <w:r w:rsidR="000D14D4" w:rsidRPr="000430DB">
        <w:rPr>
          <w:rFonts w:ascii="PT Serif" w:hAnsi="PT Serif" w:cs="Times New Roman"/>
          <w:sz w:val="24"/>
          <w:szCs w:val="24"/>
        </w:rPr>
        <w:t>para</w:t>
      </w:r>
      <w:r w:rsidR="00324FF7" w:rsidRPr="000430DB">
        <w:rPr>
          <w:rFonts w:ascii="PT Serif" w:hAnsi="PT Serif" w:cs="Times New Roman"/>
          <w:sz w:val="24"/>
          <w:szCs w:val="24"/>
        </w:rPr>
        <w:t xml:space="preserve"> marzo d</w:t>
      </w:r>
      <w:r w:rsidR="000D14D4" w:rsidRPr="000430DB">
        <w:rPr>
          <w:rFonts w:ascii="PT Serif" w:hAnsi="PT Serif" w:cs="Times New Roman"/>
          <w:sz w:val="24"/>
          <w:szCs w:val="24"/>
        </w:rPr>
        <w:t xml:space="preserve">el </w:t>
      </w:r>
      <w:r w:rsidR="00324FF7" w:rsidRPr="000430DB">
        <w:rPr>
          <w:rFonts w:ascii="PT Serif" w:hAnsi="PT Serif" w:cs="Times New Roman"/>
          <w:sz w:val="24"/>
          <w:szCs w:val="24"/>
        </w:rPr>
        <w:t xml:space="preserve">2025 </w:t>
      </w:r>
      <w:r w:rsidR="00E73329">
        <w:rPr>
          <w:rFonts w:ascii="PT Serif" w:hAnsi="PT Serif" w:cs="Times New Roman"/>
          <w:sz w:val="24"/>
          <w:szCs w:val="24"/>
        </w:rPr>
        <w:t>junto al</w:t>
      </w:r>
      <w:r w:rsidRPr="000430DB">
        <w:rPr>
          <w:rFonts w:ascii="PT Serif" w:hAnsi="PT Serif" w:cs="Times New Roman"/>
          <w:sz w:val="24"/>
          <w:szCs w:val="24"/>
        </w:rPr>
        <w:t xml:space="preserve"> Estado mexicano </w:t>
      </w:r>
      <w:r w:rsidR="000D14D4" w:rsidRPr="000430DB">
        <w:rPr>
          <w:rFonts w:ascii="PT Serif" w:hAnsi="PT Serif" w:cs="Times New Roman"/>
          <w:sz w:val="24"/>
          <w:szCs w:val="24"/>
        </w:rPr>
        <w:t>con el objeto de</w:t>
      </w:r>
      <w:r w:rsidRPr="000430DB">
        <w:rPr>
          <w:rFonts w:ascii="PT Serif" w:hAnsi="PT Serif" w:cs="Times New Roman"/>
          <w:sz w:val="24"/>
          <w:szCs w:val="24"/>
        </w:rPr>
        <w:t xml:space="preserve"> revisar el cumplimiento de la sentencia</w:t>
      </w:r>
      <w:r w:rsidR="00324FF7" w:rsidRPr="000430DB">
        <w:rPr>
          <w:rFonts w:ascii="PT Serif" w:hAnsi="PT Serif" w:cs="Times New Roman"/>
          <w:sz w:val="24"/>
          <w:szCs w:val="24"/>
        </w:rPr>
        <w:t xml:space="preserve"> </w:t>
      </w:r>
      <w:r w:rsidR="00F05661" w:rsidRPr="000430DB">
        <w:rPr>
          <w:rFonts w:ascii="PT Serif" w:hAnsi="PT Serif" w:cs="Times New Roman"/>
          <w:sz w:val="24"/>
          <w:szCs w:val="24"/>
        </w:rPr>
        <w:t xml:space="preserve">tomando como referencia la existencia, </w:t>
      </w:r>
      <w:r w:rsidR="00F05661" w:rsidRPr="000430DB">
        <w:rPr>
          <w:rFonts w:ascii="PT Serif" w:hAnsi="PT Serif" w:cs="Times New Roman"/>
          <w:i/>
          <w:iCs/>
          <w:sz w:val="24"/>
          <w:szCs w:val="24"/>
        </w:rPr>
        <w:t>prima facie</w:t>
      </w:r>
      <w:r w:rsidR="00F05661" w:rsidRPr="000430DB">
        <w:rPr>
          <w:rFonts w:ascii="PT Serif" w:hAnsi="PT Serif" w:cs="Times New Roman"/>
          <w:sz w:val="24"/>
          <w:szCs w:val="24"/>
        </w:rPr>
        <w:t xml:space="preserve">, de que la reforma a la Guardia Nacional guarda relación con los estándares </w:t>
      </w:r>
      <w:r w:rsidR="00F05661" w:rsidRPr="000430DB">
        <w:rPr>
          <w:rFonts w:ascii="PT Serif" w:hAnsi="PT Serif" w:cs="Times New Roman"/>
          <w:sz w:val="24"/>
          <w:szCs w:val="24"/>
        </w:rPr>
        <w:lastRenderedPageBreak/>
        <w:t>“desarrollados en la Sentencia en cuanto a la excepcionalidad de la participación de las fuerzas armadas en tareas de seguridad ciudadana”</w:t>
      </w:r>
      <w:r w:rsidR="00F1718A" w:rsidRPr="000430DB">
        <w:rPr>
          <w:rFonts w:ascii="PT Serif" w:hAnsi="PT Serif" w:cs="Times New Roman"/>
          <w:sz w:val="24"/>
          <w:szCs w:val="24"/>
        </w:rPr>
        <w:t xml:space="preserve"> (CoIDH, 2024, p. 5)</w:t>
      </w:r>
      <w:r w:rsidR="00F05661" w:rsidRPr="000430DB">
        <w:rPr>
          <w:rFonts w:ascii="PT Serif" w:hAnsi="PT Serif" w:cs="Times New Roman"/>
          <w:sz w:val="24"/>
          <w:szCs w:val="24"/>
        </w:rPr>
        <w:t>.</w:t>
      </w:r>
    </w:p>
    <w:p w14:paraId="400F0698" w14:textId="5D7EF16B" w:rsidR="00887B51" w:rsidRPr="000430DB" w:rsidRDefault="00F05661"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Lo anterior deja abierta la posibilidad de estar en presencia de un</w:t>
      </w:r>
      <w:r w:rsidR="00506FF8" w:rsidRPr="000430DB">
        <w:rPr>
          <w:rFonts w:ascii="PT Serif" w:hAnsi="PT Serif" w:cs="Times New Roman"/>
          <w:sz w:val="24"/>
          <w:szCs w:val="24"/>
        </w:rPr>
        <w:t xml:space="preserve">a </w:t>
      </w:r>
      <w:r w:rsidR="000D14D4" w:rsidRPr="000430DB">
        <w:rPr>
          <w:rFonts w:ascii="PT Serif" w:hAnsi="PT Serif" w:cs="Times New Roman"/>
          <w:sz w:val="24"/>
          <w:szCs w:val="24"/>
        </w:rPr>
        <w:t xml:space="preserve">inminente </w:t>
      </w:r>
      <w:r w:rsidR="00506FF8" w:rsidRPr="000430DB">
        <w:rPr>
          <w:rFonts w:ascii="PT Serif" w:hAnsi="PT Serif" w:cs="Times New Roman"/>
          <w:sz w:val="24"/>
          <w:szCs w:val="24"/>
        </w:rPr>
        <w:t xml:space="preserve">determinación de </w:t>
      </w:r>
      <w:r w:rsidRPr="000430DB">
        <w:rPr>
          <w:rFonts w:ascii="PT Serif" w:hAnsi="PT Serif" w:cs="Times New Roman"/>
          <w:sz w:val="24"/>
          <w:szCs w:val="24"/>
        </w:rPr>
        <w:t xml:space="preserve">incumplimiento a las responsabilidades internacionales que </w:t>
      </w:r>
      <w:r w:rsidR="00506FF8" w:rsidRPr="000430DB">
        <w:rPr>
          <w:rFonts w:ascii="PT Serif" w:hAnsi="PT Serif" w:cs="Times New Roman"/>
          <w:sz w:val="24"/>
          <w:szCs w:val="24"/>
        </w:rPr>
        <w:t>reforzarían</w:t>
      </w:r>
      <w:r w:rsidRPr="000430DB">
        <w:rPr>
          <w:rFonts w:ascii="PT Serif" w:hAnsi="PT Serif" w:cs="Times New Roman"/>
          <w:sz w:val="24"/>
          <w:szCs w:val="24"/>
        </w:rPr>
        <w:t xml:space="preserve"> el quebrantamiento entre la jurisprudencia interamericana y la responsabilidad estatal que una vez más, tomando en este caso el ámbito general de sentencias en contra de México</w:t>
      </w:r>
      <w:r w:rsidRPr="000430DB">
        <w:rPr>
          <w:rStyle w:val="Refdenotaalpie"/>
          <w:rFonts w:ascii="PT Serif" w:hAnsi="PT Serif" w:cs="Times New Roman"/>
          <w:sz w:val="24"/>
          <w:szCs w:val="24"/>
        </w:rPr>
        <w:footnoteReference w:id="17"/>
      </w:r>
      <w:r w:rsidRPr="000430DB">
        <w:rPr>
          <w:rFonts w:ascii="PT Serif" w:hAnsi="PT Serif" w:cs="Times New Roman"/>
          <w:sz w:val="24"/>
          <w:szCs w:val="24"/>
        </w:rPr>
        <w:t xml:space="preserve">, ponen al Estado como un </w:t>
      </w:r>
      <w:r w:rsidR="00E73329">
        <w:rPr>
          <w:rFonts w:ascii="PT Serif" w:hAnsi="PT Serif" w:cs="Times New Roman"/>
          <w:sz w:val="24"/>
          <w:szCs w:val="24"/>
        </w:rPr>
        <w:t>impasible</w:t>
      </w:r>
      <w:r w:rsidRPr="000430DB">
        <w:rPr>
          <w:rFonts w:ascii="PT Serif" w:hAnsi="PT Serif" w:cs="Times New Roman"/>
          <w:sz w:val="24"/>
          <w:szCs w:val="24"/>
        </w:rPr>
        <w:t xml:space="preserve"> a su compromiso frente a la CoIDH. </w:t>
      </w:r>
    </w:p>
    <w:p w14:paraId="70B3CD71" w14:textId="36C2FBAF" w:rsidR="00887B51" w:rsidRPr="000430DB" w:rsidRDefault="00D20F4A"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La probabilidad de que </w:t>
      </w:r>
      <w:r w:rsidR="00A445C7">
        <w:rPr>
          <w:rFonts w:ascii="PT Serif" w:hAnsi="PT Serif" w:cs="Times New Roman"/>
          <w:sz w:val="24"/>
          <w:szCs w:val="24"/>
        </w:rPr>
        <w:t xml:space="preserve">el Tribunal Supranacional </w:t>
      </w:r>
      <w:r w:rsidRPr="000430DB">
        <w:rPr>
          <w:rFonts w:ascii="PT Serif" w:hAnsi="PT Serif" w:cs="Times New Roman"/>
          <w:sz w:val="24"/>
          <w:szCs w:val="24"/>
        </w:rPr>
        <w:t xml:space="preserve">determine una exigencia que ponga en </w:t>
      </w:r>
      <w:r w:rsidR="00807B2C" w:rsidRPr="000430DB">
        <w:rPr>
          <w:rFonts w:ascii="PT Serif" w:hAnsi="PT Serif" w:cs="Times New Roman"/>
          <w:sz w:val="24"/>
          <w:szCs w:val="24"/>
        </w:rPr>
        <w:t>“</w:t>
      </w:r>
      <w:r w:rsidRPr="000430DB">
        <w:rPr>
          <w:rFonts w:ascii="PT Serif" w:hAnsi="PT Serif" w:cs="Times New Roman"/>
          <w:sz w:val="24"/>
          <w:szCs w:val="24"/>
        </w:rPr>
        <w:t>margen</w:t>
      </w:r>
      <w:r w:rsidR="00807B2C" w:rsidRPr="000430DB">
        <w:rPr>
          <w:rFonts w:ascii="PT Serif" w:hAnsi="PT Serif" w:cs="Times New Roman"/>
          <w:sz w:val="24"/>
          <w:szCs w:val="24"/>
        </w:rPr>
        <w:t>”</w:t>
      </w:r>
      <w:r w:rsidRPr="000430DB">
        <w:rPr>
          <w:rFonts w:ascii="PT Serif" w:hAnsi="PT Serif" w:cs="Times New Roman"/>
          <w:sz w:val="24"/>
          <w:szCs w:val="24"/>
        </w:rPr>
        <w:t xml:space="preserve"> a la reforma con los lineamientos internacionales, a nuestr</w:t>
      </w:r>
      <w:r w:rsidR="00807B2C" w:rsidRPr="000430DB">
        <w:rPr>
          <w:rFonts w:ascii="PT Serif" w:hAnsi="PT Serif" w:cs="Times New Roman"/>
          <w:sz w:val="24"/>
          <w:szCs w:val="24"/>
        </w:rPr>
        <w:t>a</w:t>
      </w:r>
      <w:r w:rsidRPr="000430DB">
        <w:rPr>
          <w:rFonts w:ascii="PT Serif" w:hAnsi="PT Serif" w:cs="Times New Roman"/>
          <w:sz w:val="24"/>
          <w:szCs w:val="24"/>
        </w:rPr>
        <w:t xml:space="preserve"> perspectiva, es posible bajo los siguientes tres argumentos: </w:t>
      </w:r>
    </w:p>
    <w:p w14:paraId="715CB727" w14:textId="01C03FBA" w:rsidR="00D20F4A" w:rsidRPr="003A06AA" w:rsidRDefault="008E3EB2" w:rsidP="00074E2D">
      <w:pPr>
        <w:pStyle w:val="Prrafodelista"/>
        <w:numPr>
          <w:ilvl w:val="0"/>
          <w:numId w:val="31"/>
        </w:numPr>
        <w:spacing w:line="360" w:lineRule="auto"/>
        <w:ind w:left="714" w:hanging="357"/>
        <w:jc w:val="both"/>
        <w:rPr>
          <w:rFonts w:ascii="PT Serif" w:hAnsi="PT Serif" w:cs="Times New Roman"/>
          <w:sz w:val="24"/>
          <w:szCs w:val="24"/>
        </w:rPr>
      </w:pPr>
      <w:r w:rsidRPr="003A06AA">
        <w:rPr>
          <w:rFonts w:ascii="PT Serif" w:hAnsi="PT Serif" w:cs="Times New Roman"/>
          <w:sz w:val="24"/>
          <w:szCs w:val="24"/>
        </w:rPr>
        <w:t>Retroceso en materia de jurisdicción militar</w:t>
      </w:r>
      <w:r w:rsidR="003A06AA">
        <w:rPr>
          <w:rFonts w:ascii="PT Serif" w:hAnsi="PT Serif" w:cs="Times New Roman"/>
          <w:sz w:val="24"/>
          <w:szCs w:val="24"/>
        </w:rPr>
        <w:t>:</w:t>
      </w:r>
      <w:r w:rsidRPr="003A06AA">
        <w:rPr>
          <w:rFonts w:ascii="PT Serif" w:hAnsi="PT Serif" w:cs="Times New Roman"/>
          <w:sz w:val="24"/>
          <w:szCs w:val="24"/>
        </w:rPr>
        <w:t xml:space="preserve"> </w:t>
      </w:r>
      <w:r w:rsidR="00D20F4A" w:rsidRPr="003A06AA">
        <w:rPr>
          <w:rFonts w:ascii="PT Serif" w:hAnsi="PT Serif" w:cs="Times New Roman"/>
          <w:sz w:val="24"/>
          <w:szCs w:val="24"/>
        </w:rPr>
        <w:t>La CoIDH, en el caso Alvarado Espinoza, había establecido de forma clara</w:t>
      </w:r>
      <w:r w:rsidR="005A6183" w:rsidRPr="003A06AA">
        <w:rPr>
          <w:rFonts w:ascii="PT Serif" w:hAnsi="PT Serif" w:cs="Times New Roman"/>
          <w:sz w:val="24"/>
          <w:szCs w:val="24"/>
        </w:rPr>
        <w:t xml:space="preserve"> lo siguiente: </w:t>
      </w:r>
    </w:p>
    <w:p w14:paraId="1265F4D9" w14:textId="10528F22" w:rsidR="00887B51" w:rsidRPr="000430DB" w:rsidRDefault="00887B51" w:rsidP="00074E2D">
      <w:pPr>
        <w:spacing w:line="360" w:lineRule="auto"/>
        <w:ind w:left="709"/>
        <w:jc w:val="both"/>
        <w:rPr>
          <w:rFonts w:ascii="PT Serif" w:hAnsi="PT Serif" w:cs="Times New Roman"/>
          <w:sz w:val="24"/>
          <w:szCs w:val="24"/>
        </w:rPr>
      </w:pPr>
      <w:r w:rsidRPr="000430DB">
        <w:rPr>
          <w:rFonts w:ascii="PT Serif" w:hAnsi="PT Serif" w:cs="Times New Roman"/>
          <w:sz w:val="24"/>
          <w:szCs w:val="24"/>
        </w:rPr>
        <w:t>En relación con México, este Tribunal ha concluido que la jurisdicción militar no es el fuero competente para investigar y, en su caso, juzgar y sancionar a los autores de alegadas vulneraciones de derechos humanos, sino que el procesamiento de los responsables corresponde siempre a la justicia ordinaria. (CoIDH, 2019, p. 84).</w:t>
      </w:r>
    </w:p>
    <w:p w14:paraId="3F310F34" w14:textId="77777777" w:rsidR="00887B51" w:rsidRPr="000430DB" w:rsidRDefault="005A6183"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lastRenderedPageBreak/>
        <w:t>Derivado de la reforma constitucional del 30 de septiembre de 2024, el artículo 21 de la Carta Magna previno que la naturaleza de la Guardia Nacional se sujetaría a los siguientes términos: “La Federación contará con la Guardia Nacional, fuerza de seguridad pública, profesional, de carácter permanente e integrada por personal militar con formación policial, dependiente de la secretaría del ramo de defensa nacional”</w:t>
      </w:r>
      <w:r w:rsidR="00F1718A" w:rsidRPr="000430DB">
        <w:rPr>
          <w:rFonts w:ascii="PT Serif" w:hAnsi="PT Serif" w:cs="Times New Roman"/>
          <w:sz w:val="24"/>
          <w:szCs w:val="24"/>
        </w:rPr>
        <w:t xml:space="preserve"> (CPEUM, 1917, art. 21).</w:t>
      </w:r>
    </w:p>
    <w:p w14:paraId="2A3BF208" w14:textId="77777777" w:rsidR="00887B51" w:rsidRPr="000430DB" w:rsidRDefault="005A6183"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Asimismo, dentro del mismo precepto constitucional, se estableció en el primer párrafo que, junto al Ministerio Público, así como la secretaría del ramo de seguridad pública del Ejecutivo Federal y la policía, la Guardia Nacional tendría la facultad de realizar la investigación de delitos. </w:t>
      </w:r>
    </w:p>
    <w:p w14:paraId="3774EC6F" w14:textId="161D2494" w:rsidR="00887B51" w:rsidRPr="000430DB" w:rsidRDefault="005A6183"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Ante tales previsiones, existen elementos suficientes para decir que la modificación </w:t>
      </w:r>
      <w:r w:rsidR="00807B2C" w:rsidRPr="000430DB">
        <w:rPr>
          <w:rFonts w:ascii="PT Serif" w:hAnsi="PT Serif" w:cs="Times New Roman"/>
          <w:sz w:val="24"/>
          <w:szCs w:val="24"/>
        </w:rPr>
        <w:t xml:space="preserve">constitucional </w:t>
      </w:r>
      <w:r w:rsidR="008E3EB2" w:rsidRPr="000430DB">
        <w:rPr>
          <w:rFonts w:ascii="PT Serif" w:hAnsi="PT Serif" w:cs="Times New Roman"/>
          <w:sz w:val="24"/>
          <w:szCs w:val="24"/>
        </w:rPr>
        <w:t xml:space="preserve">en realidad guarda contradicciones en cierta </w:t>
      </w:r>
      <w:r w:rsidR="00807B2C" w:rsidRPr="000430DB">
        <w:rPr>
          <w:rFonts w:ascii="PT Serif" w:hAnsi="PT Serif" w:cs="Times New Roman"/>
          <w:sz w:val="24"/>
          <w:szCs w:val="24"/>
        </w:rPr>
        <w:t>m</w:t>
      </w:r>
      <w:r w:rsidR="008E3EB2" w:rsidRPr="000430DB">
        <w:rPr>
          <w:rFonts w:ascii="PT Serif" w:hAnsi="PT Serif" w:cs="Times New Roman"/>
          <w:sz w:val="24"/>
          <w:szCs w:val="24"/>
        </w:rPr>
        <w:t xml:space="preserve">edida </w:t>
      </w:r>
      <w:r w:rsidR="00807B2C" w:rsidRPr="000430DB">
        <w:rPr>
          <w:rFonts w:ascii="PT Serif" w:hAnsi="PT Serif" w:cs="Times New Roman"/>
          <w:sz w:val="24"/>
          <w:szCs w:val="24"/>
        </w:rPr>
        <w:t xml:space="preserve">con </w:t>
      </w:r>
      <w:r w:rsidR="00CC1821" w:rsidRPr="000430DB">
        <w:rPr>
          <w:rFonts w:ascii="PT Serif" w:hAnsi="PT Serif" w:cs="Times New Roman"/>
          <w:sz w:val="24"/>
          <w:szCs w:val="24"/>
        </w:rPr>
        <w:t>e</w:t>
      </w:r>
      <w:r w:rsidR="00807B2C" w:rsidRPr="000430DB">
        <w:rPr>
          <w:rFonts w:ascii="PT Serif" w:hAnsi="PT Serif" w:cs="Times New Roman"/>
          <w:sz w:val="24"/>
          <w:szCs w:val="24"/>
        </w:rPr>
        <w:t>l</w:t>
      </w:r>
      <w:r w:rsidR="008E3EB2" w:rsidRPr="000430DB">
        <w:rPr>
          <w:rFonts w:ascii="PT Serif" w:hAnsi="PT Serif" w:cs="Times New Roman"/>
          <w:sz w:val="24"/>
          <w:szCs w:val="24"/>
        </w:rPr>
        <w:t xml:space="preserve"> mandato de la CoIDH; se está militarizando a un ente que conoce de asuntos civiles lo que propiciaría un exponencial riesgo a que la jurisdicción militar conozca de violaciones de derechos humanos cometidos por guardias nacionales</w:t>
      </w:r>
      <w:r w:rsidR="006D145D">
        <w:rPr>
          <w:rFonts w:ascii="PT Serif" w:hAnsi="PT Serif" w:cs="Times New Roman"/>
          <w:sz w:val="24"/>
          <w:szCs w:val="24"/>
        </w:rPr>
        <w:t xml:space="preserve">. </w:t>
      </w:r>
      <w:r w:rsidR="008E3EB2" w:rsidRPr="000430DB">
        <w:rPr>
          <w:rFonts w:ascii="PT Serif" w:hAnsi="PT Serif" w:cs="Times New Roman"/>
          <w:sz w:val="24"/>
          <w:szCs w:val="24"/>
        </w:rPr>
        <w:t xml:space="preserve"> </w:t>
      </w:r>
    </w:p>
    <w:p w14:paraId="7F8617A5" w14:textId="17C25AAD" w:rsidR="00887B51" w:rsidRPr="003A06AA" w:rsidRDefault="008E3EB2" w:rsidP="007B0ED6">
      <w:pPr>
        <w:pStyle w:val="Prrafodelista"/>
        <w:numPr>
          <w:ilvl w:val="0"/>
          <w:numId w:val="31"/>
        </w:numPr>
        <w:spacing w:line="360" w:lineRule="auto"/>
        <w:ind w:left="714" w:hanging="357"/>
        <w:jc w:val="both"/>
        <w:rPr>
          <w:rFonts w:ascii="PT Serif" w:hAnsi="PT Serif" w:cs="Times New Roman"/>
          <w:sz w:val="24"/>
          <w:szCs w:val="24"/>
        </w:rPr>
      </w:pPr>
      <w:r w:rsidRPr="003A06AA">
        <w:rPr>
          <w:rFonts w:ascii="PT Serif" w:hAnsi="PT Serif" w:cs="Times New Roman"/>
          <w:sz w:val="24"/>
          <w:szCs w:val="24"/>
        </w:rPr>
        <w:t xml:space="preserve">Impunidad en </w:t>
      </w:r>
      <w:r w:rsidR="006731BC" w:rsidRPr="003A06AA">
        <w:rPr>
          <w:rFonts w:ascii="PT Serif" w:hAnsi="PT Serif" w:cs="Times New Roman"/>
          <w:sz w:val="24"/>
          <w:szCs w:val="24"/>
        </w:rPr>
        <w:t>los delitos</w:t>
      </w:r>
      <w:r w:rsidR="003A06AA">
        <w:rPr>
          <w:rFonts w:ascii="PT Serif" w:hAnsi="PT Serif" w:cs="Times New Roman"/>
          <w:sz w:val="24"/>
          <w:szCs w:val="24"/>
        </w:rPr>
        <w:t>:</w:t>
      </w:r>
      <w:r w:rsidRPr="003A06AA">
        <w:rPr>
          <w:rFonts w:ascii="PT Serif" w:hAnsi="PT Serif" w:cs="Times New Roman"/>
          <w:sz w:val="24"/>
          <w:szCs w:val="24"/>
        </w:rPr>
        <w:t xml:space="preserve"> La constitución de la Guardia Nacional como elemento de investigación de delitos genera un riesgo de que hechos de desaparición forzada queden impunes al preverse que históricamente son las fuerzas </w:t>
      </w:r>
      <w:r w:rsidR="00474BC6" w:rsidRPr="003A06AA">
        <w:rPr>
          <w:rFonts w:ascii="PT Serif" w:hAnsi="PT Serif" w:cs="Times New Roman"/>
          <w:sz w:val="24"/>
          <w:szCs w:val="24"/>
        </w:rPr>
        <w:t>castrenses</w:t>
      </w:r>
      <w:r w:rsidRPr="003A06AA">
        <w:rPr>
          <w:rFonts w:ascii="PT Serif" w:hAnsi="PT Serif" w:cs="Times New Roman"/>
          <w:sz w:val="24"/>
          <w:szCs w:val="24"/>
        </w:rPr>
        <w:t xml:space="preserve"> quienes son los principales autores de este tipo de delitos. </w:t>
      </w:r>
    </w:p>
    <w:p w14:paraId="30ABDA4E" w14:textId="33AA0853" w:rsidR="008E3EB2" w:rsidRPr="000430DB" w:rsidRDefault="00506FF8" w:rsidP="003A06AA">
      <w:pPr>
        <w:spacing w:line="360" w:lineRule="auto"/>
        <w:ind w:firstLine="720"/>
        <w:jc w:val="both"/>
        <w:rPr>
          <w:rFonts w:ascii="PT Serif" w:hAnsi="PT Serif" w:cs="Times New Roman"/>
          <w:sz w:val="24"/>
          <w:szCs w:val="24"/>
        </w:rPr>
      </w:pPr>
      <w:r w:rsidRPr="000430DB">
        <w:rPr>
          <w:rFonts w:ascii="PT Serif" w:hAnsi="PT Serif" w:cs="Times New Roman"/>
          <w:sz w:val="24"/>
          <w:szCs w:val="24"/>
        </w:rPr>
        <w:t>Que</w:t>
      </w:r>
      <w:r w:rsidR="008E3EB2" w:rsidRPr="000430DB">
        <w:rPr>
          <w:rFonts w:ascii="PT Serif" w:hAnsi="PT Serif" w:cs="Times New Roman"/>
          <w:sz w:val="24"/>
          <w:szCs w:val="24"/>
        </w:rPr>
        <w:t xml:space="preserve"> autoridades</w:t>
      </w:r>
      <w:r w:rsidRPr="000430DB">
        <w:rPr>
          <w:rFonts w:ascii="PT Serif" w:hAnsi="PT Serif" w:cs="Times New Roman"/>
          <w:sz w:val="24"/>
          <w:szCs w:val="24"/>
        </w:rPr>
        <w:t xml:space="preserve"> militares, las cuales </w:t>
      </w:r>
      <w:r w:rsidR="008E3EB2" w:rsidRPr="000430DB">
        <w:rPr>
          <w:rFonts w:ascii="PT Serif" w:hAnsi="PT Serif" w:cs="Times New Roman"/>
          <w:sz w:val="24"/>
          <w:szCs w:val="24"/>
        </w:rPr>
        <w:t xml:space="preserve">generalmente son </w:t>
      </w:r>
      <w:r w:rsidRPr="000430DB">
        <w:rPr>
          <w:rFonts w:ascii="PT Serif" w:hAnsi="PT Serif" w:cs="Times New Roman"/>
          <w:sz w:val="24"/>
          <w:szCs w:val="24"/>
        </w:rPr>
        <w:t>los</w:t>
      </w:r>
      <w:r w:rsidR="008E3EB2" w:rsidRPr="000430DB">
        <w:rPr>
          <w:rFonts w:ascii="PT Serif" w:hAnsi="PT Serif" w:cs="Times New Roman"/>
          <w:sz w:val="24"/>
          <w:szCs w:val="24"/>
        </w:rPr>
        <w:t xml:space="preserve"> responsables</w:t>
      </w:r>
      <w:r w:rsidRPr="000430DB">
        <w:rPr>
          <w:rFonts w:ascii="PT Serif" w:hAnsi="PT Serif" w:cs="Times New Roman"/>
          <w:sz w:val="24"/>
          <w:szCs w:val="24"/>
        </w:rPr>
        <w:t xml:space="preserve"> de ilícitos de desaparición forzada,</w:t>
      </w:r>
      <w:r w:rsidR="008E3EB2" w:rsidRPr="000430DB">
        <w:rPr>
          <w:rFonts w:ascii="PT Serif" w:hAnsi="PT Serif" w:cs="Times New Roman"/>
          <w:sz w:val="24"/>
          <w:szCs w:val="24"/>
        </w:rPr>
        <w:t xml:space="preserve"> estén al mando de las investigaciones</w:t>
      </w:r>
      <w:r w:rsidR="00E73329">
        <w:rPr>
          <w:rFonts w:ascii="PT Serif" w:hAnsi="PT Serif" w:cs="Times New Roman"/>
          <w:sz w:val="24"/>
          <w:szCs w:val="24"/>
        </w:rPr>
        <w:t xml:space="preserve">, </w:t>
      </w:r>
      <w:r w:rsidR="008E3EB2" w:rsidRPr="000430DB">
        <w:rPr>
          <w:rFonts w:ascii="PT Serif" w:hAnsi="PT Serif" w:cs="Times New Roman"/>
          <w:sz w:val="24"/>
          <w:szCs w:val="24"/>
        </w:rPr>
        <w:t>propicia la actualización de encubrimientos, fabricación de pruebas y obstaculización de la justic</w:t>
      </w:r>
      <w:r w:rsidR="00BC5DA9" w:rsidRPr="000430DB">
        <w:rPr>
          <w:rFonts w:ascii="PT Serif" w:hAnsi="PT Serif" w:cs="Times New Roman"/>
          <w:sz w:val="24"/>
          <w:szCs w:val="24"/>
        </w:rPr>
        <w:t xml:space="preserve">ia, es decir, se está comprometiendo gravemente la independencia y objetividad de las indagatorias, circunstancia que la propia sentencia de Alvarado Espinoza se había encargado de </w:t>
      </w:r>
      <w:r w:rsidR="002479D2" w:rsidRPr="000430DB">
        <w:rPr>
          <w:rFonts w:ascii="PT Serif" w:hAnsi="PT Serif" w:cs="Times New Roman"/>
          <w:sz w:val="24"/>
          <w:szCs w:val="24"/>
        </w:rPr>
        <w:t>tratar</w:t>
      </w:r>
      <w:r w:rsidR="00BC5DA9" w:rsidRPr="000430DB">
        <w:rPr>
          <w:rFonts w:ascii="PT Serif" w:hAnsi="PT Serif" w:cs="Times New Roman"/>
          <w:sz w:val="24"/>
          <w:szCs w:val="24"/>
        </w:rPr>
        <w:t xml:space="preserve"> </w:t>
      </w:r>
      <w:r w:rsidRPr="000430DB">
        <w:rPr>
          <w:rFonts w:ascii="PT Serif" w:hAnsi="PT Serif" w:cs="Times New Roman"/>
          <w:sz w:val="24"/>
          <w:szCs w:val="24"/>
        </w:rPr>
        <w:t>de la siguiente manera</w:t>
      </w:r>
      <w:r w:rsidR="00BC5DA9" w:rsidRPr="000430DB">
        <w:rPr>
          <w:rFonts w:ascii="PT Serif" w:hAnsi="PT Serif" w:cs="Times New Roman"/>
          <w:sz w:val="24"/>
          <w:szCs w:val="24"/>
        </w:rPr>
        <w:t xml:space="preserve">: </w:t>
      </w:r>
    </w:p>
    <w:p w14:paraId="6B2BF62C" w14:textId="663DAEA5" w:rsidR="00887B51" w:rsidRPr="000430DB" w:rsidRDefault="00C148C4" w:rsidP="007B0ED6">
      <w:pPr>
        <w:spacing w:line="360" w:lineRule="auto"/>
        <w:ind w:left="720"/>
        <w:jc w:val="both"/>
        <w:rPr>
          <w:rFonts w:ascii="PT Serif" w:hAnsi="PT Serif" w:cs="Times New Roman"/>
          <w:sz w:val="24"/>
          <w:szCs w:val="24"/>
        </w:rPr>
      </w:pPr>
      <w:r>
        <w:rPr>
          <w:rFonts w:ascii="PT Serif" w:hAnsi="PT Serif" w:cs="Times New Roman"/>
          <w:sz w:val="24"/>
          <w:szCs w:val="24"/>
        </w:rPr>
        <w:lastRenderedPageBreak/>
        <w:t>[E]</w:t>
      </w:r>
      <w:r w:rsidR="00887B51" w:rsidRPr="000430DB">
        <w:rPr>
          <w:rFonts w:ascii="PT Serif" w:hAnsi="PT Serif" w:cs="Times New Roman"/>
          <w:sz w:val="24"/>
          <w:szCs w:val="24"/>
        </w:rPr>
        <w:t xml:space="preserve">l involucramiento de la jurisdicción militar en el desarrollo del caso implicó </w:t>
      </w:r>
      <w:r w:rsidR="003A06AA">
        <w:rPr>
          <w:rFonts w:ascii="PT Serif" w:hAnsi="PT Serif" w:cs="Times New Roman"/>
          <w:sz w:val="24"/>
          <w:szCs w:val="24"/>
        </w:rPr>
        <w:t>-</w:t>
      </w:r>
      <w:r w:rsidR="00887B51" w:rsidRPr="000430DB">
        <w:rPr>
          <w:rFonts w:ascii="PT Serif" w:hAnsi="PT Serif" w:cs="Times New Roman"/>
          <w:sz w:val="24"/>
          <w:szCs w:val="24"/>
        </w:rPr>
        <w:t>además</w:t>
      </w:r>
      <w:r w:rsidR="003A06AA">
        <w:rPr>
          <w:rFonts w:ascii="PT Serif" w:hAnsi="PT Serif" w:cs="Times New Roman"/>
          <w:sz w:val="24"/>
          <w:szCs w:val="24"/>
        </w:rPr>
        <w:t>-</w:t>
      </w:r>
      <w:r w:rsidR="00887B51" w:rsidRPr="000430DB">
        <w:rPr>
          <w:rFonts w:ascii="PT Serif" w:hAnsi="PT Serif" w:cs="Times New Roman"/>
          <w:sz w:val="24"/>
          <w:szCs w:val="24"/>
        </w:rPr>
        <w:t xml:space="preserve"> una falta grave al deber de debida diligencia en las investigaciones criminales; pues al tratarse de autoridades que carecían de independencia e imparcialidad, las indagatorias y demás actuaciones realizadas por ellas </w:t>
      </w:r>
      <w:r w:rsidR="00F417BE">
        <w:rPr>
          <w:rFonts w:ascii="PT Serif" w:hAnsi="PT Serif" w:cs="Times New Roman"/>
          <w:sz w:val="24"/>
          <w:szCs w:val="24"/>
        </w:rPr>
        <w:t>-</w:t>
      </w:r>
      <w:r w:rsidR="00887B51" w:rsidRPr="000430DB">
        <w:rPr>
          <w:rFonts w:ascii="PT Serif" w:hAnsi="PT Serif" w:cs="Times New Roman"/>
          <w:sz w:val="24"/>
          <w:szCs w:val="24"/>
        </w:rPr>
        <w:t>al haber sido realizadas con la expresa intención de determinar si existió participación de elementos militares en la desaparición y al haberse verificado en los primeros meses después de ésta</w:t>
      </w:r>
      <w:r w:rsidR="00F417BE">
        <w:rPr>
          <w:rFonts w:ascii="PT Serif" w:hAnsi="PT Serif" w:cs="Times New Roman"/>
          <w:sz w:val="24"/>
          <w:szCs w:val="24"/>
        </w:rPr>
        <w:t>-</w:t>
      </w:r>
      <w:r w:rsidR="00887B51" w:rsidRPr="000430DB">
        <w:rPr>
          <w:rFonts w:ascii="PT Serif" w:hAnsi="PT Serif" w:cs="Times New Roman"/>
          <w:sz w:val="24"/>
          <w:szCs w:val="24"/>
        </w:rPr>
        <w:t xml:space="preserve"> supusieron la pérdida de elementos de prueba valiosos, afectando con ello de forma relevante el desarrollo de las investigaciones. (CoIDH, 2019, pp. 84-85)</w:t>
      </w:r>
    </w:p>
    <w:p w14:paraId="57B73AF3" w14:textId="77777777" w:rsidR="00F417BE" w:rsidRDefault="00BC5DA9" w:rsidP="005B5B53">
      <w:pPr>
        <w:pStyle w:val="Prrafodelista"/>
        <w:numPr>
          <w:ilvl w:val="0"/>
          <w:numId w:val="31"/>
        </w:numPr>
        <w:spacing w:line="360" w:lineRule="auto"/>
        <w:ind w:left="714" w:hanging="357"/>
        <w:jc w:val="both"/>
        <w:rPr>
          <w:rFonts w:ascii="PT Serif" w:hAnsi="PT Serif" w:cs="Times New Roman"/>
          <w:sz w:val="24"/>
          <w:szCs w:val="24"/>
        </w:rPr>
      </w:pPr>
      <w:r w:rsidRPr="00F417BE">
        <w:rPr>
          <w:rFonts w:ascii="PT Serif" w:hAnsi="PT Serif" w:cs="Times New Roman"/>
          <w:sz w:val="24"/>
          <w:szCs w:val="24"/>
        </w:rPr>
        <w:t>No hay excepción a la militarización</w:t>
      </w:r>
      <w:r w:rsidR="00F417BE" w:rsidRPr="00F417BE">
        <w:rPr>
          <w:rFonts w:ascii="PT Serif" w:hAnsi="PT Serif" w:cs="Times New Roman"/>
          <w:sz w:val="24"/>
          <w:szCs w:val="24"/>
        </w:rPr>
        <w:t>:</w:t>
      </w:r>
      <w:r w:rsidRPr="00F417BE">
        <w:rPr>
          <w:rFonts w:ascii="PT Serif" w:hAnsi="PT Serif" w:cs="Times New Roman"/>
          <w:sz w:val="24"/>
          <w:szCs w:val="24"/>
        </w:rPr>
        <w:t xml:space="preserve"> </w:t>
      </w:r>
      <w:r w:rsidR="000537FE" w:rsidRPr="00F417BE">
        <w:rPr>
          <w:rFonts w:ascii="PT Serif" w:hAnsi="PT Serif" w:cs="Times New Roman"/>
          <w:sz w:val="24"/>
          <w:szCs w:val="24"/>
        </w:rPr>
        <w:t>En la sentencia en cuestión, la CoIDH ha reiterado que el uso de las fuerzas armadas en tareas de seguridad pública debe ser excepcional, subordinada</w:t>
      </w:r>
      <w:r w:rsidR="00807B2C" w:rsidRPr="00F417BE">
        <w:rPr>
          <w:rFonts w:ascii="PT Serif" w:hAnsi="PT Serif" w:cs="Times New Roman"/>
          <w:sz w:val="24"/>
          <w:szCs w:val="24"/>
        </w:rPr>
        <w:t>,</w:t>
      </w:r>
      <w:r w:rsidR="000537FE" w:rsidRPr="00F417BE">
        <w:rPr>
          <w:rFonts w:ascii="PT Serif" w:hAnsi="PT Serif" w:cs="Times New Roman"/>
          <w:sz w:val="24"/>
          <w:szCs w:val="24"/>
        </w:rPr>
        <w:t xml:space="preserve"> complementaria</w:t>
      </w:r>
      <w:r w:rsidR="00807B2C" w:rsidRPr="00F417BE">
        <w:rPr>
          <w:rFonts w:ascii="PT Serif" w:hAnsi="PT Serif" w:cs="Times New Roman"/>
          <w:sz w:val="24"/>
          <w:szCs w:val="24"/>
        </w:rPr>
        <w:t>, regulada y fiscalizada</w:t>
      </w:r>
      <w:r w:rsidR="000537FE" w:rsidRPr="00F417BE">
        <w:rPr>
          <w:rFonts w:ascii="PT Serif" w:hAnsi="PT Serif" w:cs="Times New Roman"/>
          <w:sz w:val="24"/>
          <w:szCs w:val="24"/>
        </w:rPr>
        <w:t xml:space="preserve"> a las autoridades civiles</w:t>
      </w:r>
      <w:r w:rsidR="00884BBC" w:rsidRPr="00F417BE">
        <w:rPr>
          <w:rFonts w:ascii="PT Serif" w:hAnsi="PT Serif" w:cs="Times New Roman"/>
          <w:sz w:val="24"/>
          <w:szCs w:val="24"/>
        </w:rPr>
        <w:t xml:space="preserve"> (CoIDH, 2019, p. 70)</w:t>
      </w:r>
      <w:r w:rsidR="000537FE" w:rsidRPr="00F417BE">
        <w:rPr>
          <w:rFonts w:ascii="PT Serif" w:hAnsi="PT Serif" w:cs="Times New Roman"/>
          <w:sz w:val="24"/>
          <w:szCs w:val="24"/>
        </w:rPr>
        <w:t xml:space="preserve">. </w:t>
      </w:r>
    </w:p>
    <w:p w14:paraId="456B3269" w14:textId="7D58EE34" w:rsidR="00887B51" w:rsidRPr="00F417BE" w:rsidRDefault="000537FE" w:rsidP="00F417BE">
      <w:pPr>
        <w:spacing w:line="360" w:lineRule="auto"/>
        <w:ind w:firstLine="720"/>
        <w:jc w:val="both"/>
        <w:rPr>
          <w:rFonts w:ascii="PT Serif" w:hAnsi="PT Serif" w:cs="Times New Roman"/>
          <w:sz w:val="24"/>
          <w:szCs w:val="24"/>
        </w:rPr>
      </w:pPr>
      <w:r w:rsidRPr="00F417BE">
        <w:rPr>
          <w:rFonts w:ascii="PT Serif" w:hAnsi="PT Serif" w:cs="Times New Roman"/>
          <w:sz w:val="24"/>
          <w:szCs w:val="24"/>
        </w:rPr>
        <w:t>Sin embargo, el precepto constitucional</w:t>
      </w:r>
      <w:r w:rsidR="0041406C" w:rsidRPr="00F417BE">
        <w:rPr>
          <w:rFonts w:ascii="PT Serif" w:hAnsi="PT Serif" w:cs="Times New Roman"/>
          <w:sz w:val="24"/>
          <w:szCs w:val="24"/>
        </w:rPr>
        <w:t>, que</w:t>
      </w:r>
      <w:r w:rsidRPr="00F417BE">
        <w:rPr>
          <w:rFonts w:ascii="PT Serif" w:hAnsi="PT Serif" w:cs="Times New Roman"/>
          <w:sz w:val="24"/>
          <w:szCs w:val="24"/>
        </w:rPr>
        <w:t xml:space="preserve"> faculta a la Guardia Nacional como ente investigador</w:t>
      </w:r>
      <w:r w:rsidR="0041406C" w:rsidRPr="00F417BE">
        <w:rPr>
          <w:rFonts w:ascii="PT Serif" w:hAnsi="PT Serif" w:cs="Times New Roman"/>
          <w:sz w:val="24"/>
          <w:szCs w:val="24"/>
        </w:rPr>
        <w:t xml:space="preserve">, </w:t>
      </w:r>
      <w:r w:rsidRPr="00F417BE">
        <w:rPr>
          <w:rFonts w:ascii="PT Serif" w:hAnsi="PT Serif" w:cs="Times New Roman"/>
          <w:sz w:val="24"/>
          <w:szCs w:val="24"/>
        </w:rPr>
        <w:t xml:space="preserve">no establece una diferencia sustancial respecto a las funciones que tradicionalmente han desempeñado los cuerpos policiales en su labor de coadyuvancia con el Ministerio Público, siendo estos grupos los que por excelencia se encuentran en el esquema de actuación civil. </w:t>
      </w:r>
    </w:p>
    <w:p w14:paraId="00B02D80" w14:textId="77777777" w:rsidR="00887B51" w:rsidRPr="000430DB" w:rsidRDefault="00A0141A" w:rsidP="00F417BE">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El precepto se limita a mencionar que las facultades de investigación de los entes citados se hará conforme al ámbito de su competencia, sin embargo, dentro de la ley de la Guarda Nacional, así como en la </w:t>
      </w:r>
      <w:r w:rsidR="00086090" w:rsidRPr="000430DB">
        <w:rPr>
          <w:rFonts w:ascii="PT Serif" w:hAnsi="PT Serif" w:cs="Times New Roman"/>
          <w:sz w:val="24"/>
          <w:szCs w:val="24"/>
        </w:rPr>
        <w:t>Ley Orgánica del Ejército y Fuerza Aérea Mexicanos</w:t>
      </w:r>
      <w:r w:rsidRPr="000430DB">
        <w:rPr>
          <w:rFonts w:ascii="PT Serif" w:hAnsi="PT Serif" w:cs="Times New Roman"/>
          <w:sz w:val="24"/>
          <w:szCs w:val="24"/>
        </w:rPr>
        <w:t xml:space="preserve">, no se previene qué casos habrá de conocer esta institución. </w:t>
      </w:r>
    </w:p>
    <w:p w14:paraId="1666B1F2" w14:textId="1E9F189D" w:rsidR="00C148C4" w:rsidRPr="000430DB" w:rsidRDefault="000537FE"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Derivado a lo anterior, la falta de disposiciones que delimiten claramente la forma en que la Guardia Nacional debe intervenir en las investigaciones genera un escenario en el que su presencia en la vida cotidiana de la ciudadanía será constante e </w:t>
      </w:r>
      <w:r w:rsidRPr="000430DB">
        <w:rPr>
          <w:rFonts w:ascii="PT Serif" w:hAnsi="PT Serif" w:cs="Times New Roman"/>
          <w:sz w:val="24"/>
          <w:szCs w:val="24"/>
        </w:rPr>
        <w:lastRenderedPageBreak/>
        <w:t>ineludible</w:t>
      </w:r>
      <w:r w:rsidR="00086090" w:rsidRPr="000430DB">
        <w:rPr>
          <w:rFonts w:ascii="PT Serif" w:hAnsi="PT Serif" w:cs="Times New Roman"/>
          <w:sz w:val="24"/>
          <w:szCs w:val="24"/>
        </w:rPr>
        <w:t>.</w:t>
      </w:r>
      <w:r w:rsidRPr="000430DB">
        <w:rPr>
          <w:rFonts w:ascii="PT Serif" w:hAnsi="PT Serif" w:cs="Times New Roman"/>
          <w:sz w:val="24"/>
          <w:szCs w:val="24"/>
        </w:rPr>
        <w:t xml:space="preserve"> A esto se suma el despliegue masivo de estos cuerpos de seguridad en todo el territorio nacion</w:t>
      </w:r>
      <w:r w:rsidR="00F417BE">
        <w:rPr>
          <w:rFonts w:ascii="PT Serif" w:hAnsi="PT Serif" w:cs="Times New Roman"/>
          <w:sz w:val="24"/>
          <w:szCs w:val="24"/>
        </w:rPr>
        <w:t>al</w:t>
      </w:r>
      <w:r w:rsidR="00850750" w:rsidRPr="000430DB">
        <w:rPr>
          <w:rStyle w:val="Refdenotaalpie"/>
          <w:rFonts w:ascii="PT Serif" w:hAnsi="PT Serif" w:cs="Times New Roman"/>
          <w:sz w:val="24"/>
          <w:szCs w:val="24"/>
        </w:rPr>
        <w:footnoteReference w:id="18"/>
      </w:r>
      <w:r w:rsidRPr="000430DB">
        <w:rPr>
          <w:rFonts w:ascii="PT Serif" w:hAnsi="PT Serif" w:cs="Times New Roman"/>
          <w:sz w:val="24"/>
          <w:szCs w:val="24"/>
        </w:rPr>
        <w:t xml:space="preserve">, lo </w:t>
      </w:r>
      <w:r w:rsidR="002479D2" w:rsidRPr="000430DB">
        <w:rPr>
          <w:rFonts w:ascii="PT Serif" w:hAnsi="PT Serif" w:cs="Times New Roman"/>
          <w:sz w:val="24"/>
          <w:szCs w:val="24"/>
        </w:rPr>
        <w:t>cual</w:t>
      </w:r>
      <w:r w:rsidRPr="000430DB">
        <w:rPr>
          <w:rFonts w:ascii="PT Serif" w:hAnsi="PT Serif" w:cs="Times New Roman"/>
          <w:sz w:val="24"/>
          <w:szCs w:val="24"/>
        </w:rPr>
        <w:t xml:space="preserve"> refuerza la tendencia hacia una militarización permanente, fuera de lo excepciona</w:t>
      </w:r>
      <w:r w:rsidR="00850750" w:rsidRPr="000430DB">
        <w:rPr>
          <w:rFonts w:ascii="PT Serif" w:hAnsi="PT Serif" w:cs="Times New Roman"/>
          <w:sz w:val="24"/>
          <w:szCs w:val="24"/>
        </w:rPr>
        <w:t>l</w:t>
      </w:r>
      <w:r w:rsidRPr="000430DB">
        <w:rPr>
          <w:rFonts w:ascii="PT Serif" w:hAnsi="PT Serif" w:cs="Times New Roman"/>
          <w:sz w:val="24"/>
          <w:szCs w:val="24"/>
        </w:rPr>
        <w:t xml:space="preserve"> y, </w:t>
      </w:r>
      <w:r w:rsidR="00A30110">
        <w:rPr>
          <w:rFonts w:ascii="PT Serif" w:hAnsi="PT Serif" w:cs="Times New Roman"/>
          <w:sz w:val="24"/>
          <w:szCs w:val="24"/>
        </w:rPr>
        <w:t>por ende</w:t>
      </w:r>
      <w:r w:rsidRPr="000430DB">
        <w:rPr>
          <w:rFonts w:ascii="PT Serif" w:hAnsi="PT Serif" w:cs="Times New Roman"/>
          <w:sz w:val="24"/>
          <w:szCs w:val="24"/>
        </w:rPr>
        <w:t xml:space="preserve">, inconvencional. </w:t>
      </w:r>
    </w:p>
    <w:p w14:paraId="2C1C332D" w14:textId="6590E18E" w:rsidR="00887B51" w:rsidRPr="000430DB" w:rsidRDefault="00887B51" w:rsidP="00887B51">
      <w:pPr>
        <w:pStyle w:val="Prrafodelista"/>
        <w:numPr>
          <w:ilvl w:val="0"/>
          <w:numId w:val="2"/>
        </w:numPr>
        <w:spacing w:line="360" w:lineRule="auto"/>
        <w:jc w:val="both"/>
        <w:rPr>
          <w:rFonts w:ascii="PT Serif" w:hAnsi="PT Serif" w:cs="Times New Roman"/>
          <w:b/>
          <w:bCs/>
          <w:i/>
          <w:iCs/>
          <w:smallCaps/>
          <w:sz w:val="24"/>
          <w:szCs w:val="24"/>
        </w:rPr>
      </w:pPr>
      <w:r w:rsidRPr="000430DB">
        <w:rPr>
          <w:rFonts w:ascii="PT Serif" w:hAnsi="PT Serif" w:cs="Times New Roman"/>
          <w:b/>
          <w:bCs/>
          <w:i/>
          <w:iCs/>
          <w:smallCaps/>
          <w:sz w:val="24"/>
          <w:szCs w:val="24"/>
        </w:rPr>
        <w:t xml:space="preserve">MÁS ALLÁ DE LA NORMA: UNA EXPLICACIÓN TEÓRICA DEL INCUMPLIMIENTO ESTATAL </w:t>
      </w:r>
    </w:p>
    <w:p w14:paraId="274D7D30" w14:textId="21E5C9E1" w:rsidR="00887B51" w:rsidRPr="000430DB" w:rsidRDefault="003E5212" w:rsidP="00F417BE">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Atendiendo estos casos, que ejemplifican el desacato e inefectividad de las resoluciones de la CoIDH, </w:t>
      </w:r>
      <w:r w:rsidR="00DC04FC" w:rsidRPr="000430DB">
        <w:rPr>
          <w:rFonts w:ascii="PT Serif" w:hAnsi="PT Serif" w:cs="Times New Roman"/>
          <w:sz w:val="24"/>
          <w:szCs w:val="24"/>
        </w:rPr>
        <w:t xml:space="preserve">retomamos </w:t>
      </w:r>
      <w:r w:rsidRPr="000430DB">
        <w:rPr>
          <w:rFonts w:ascii="PT Serif" w:hAnsi="PT Serif" w:cs="Times New Roman"/>
          <w:sz w:val="24"/>
          <w:szCs w:val="24"/>
        </w:rPr>
        <w:t>la cuestión planteada al inicio del subapartado anterior</w:t>
      </w:r>
      <w:r w:rsidR="00A30110">
        <w:rPr>
          <w:rFonts w:ascii="PT Serif" w:hAnsi="PT Serif" w:cs="Times New Roman"/>
          <w:sz w:val="24"/>
          <w:szCs w:val="24"/>
        </w:rPr>
        <w:t xml:space="preserve"> sobre los motivos por los que yace este incumplimiento a los mandamientos del Tribunal Supranacional. </w:t>
      </w:r>
    </w:p>
    <w:p w14:paraId="7FABED93" w14:textId="5ACCD985" w:rsidR="00887B51" w:rsidRPr="000430DB" w:rsidRDefault="000C2483" w:rsidP="00F417BE">
      <w:pPr>
        <w:spacing w:line="360" w:lineRule="auto"/>
        <w:ind w:firstLine="720"/>
        <w:jc w:val="both"/>
        <w:rPr>
          <w:rFonts w:ascii="PT Serif" w:hAnsi="PT Serif" w:cs="Times New Roman"/>
          <w:sz w:val="24"/>
          <w:szCs w:val="24"/>
        </w:rPr>
      </w:pPr>
      <w:r>
        <w:rPr>
          <w:rFonts w:ascii="PT Serif" w:hAnsi="PT Serif" w:cs="Times New Roman"/>
          <w:sz w:val="24"/>
          <w:szCs w:val="24"/>
        </w:rPr>
        <w:t xml:space="preserve">Ocuparse de </w:t>
      </w:r>
      <w:r w:rsidR="00A30110">
        <w:rPr>
          <w:rFonts w:ascii="PT Serif" w:hAnsi="PT Serif" w:cs="Times New Roman"/>
          <w:sz w:val="24"/>
          <w:szCs w:val="24"/>
        </w:rPr>
        <w:t>esta indagatoria</w:t>
      </w:r>
      <w:r w:rsidR="003E5212" w:rsidRPr="000430DB">
        <w:rPr>
          <w:rFonts w:ascii="PT Serif" w:hAnsi="PT Serif" w:cs="Times New Roman"/>
          <w:sz w:val="24"/>
          <w:szCs w:val="24"/>
        </w:rPr>
        <w:t xml:space="preserve"> inevitablemente implica un análisis con cierto grado de especulación, sustentado en una perspectiva doctrinaria. Esto se debe a que no existe, en términos formales, una deficiencia normativa que </w:t>
      </w:r>
      <w:r w:rsidR="00BF5FEB">
        <w:rPr>
          <w:rFonts w:ascii="PT Serif" w:hAnsi="PT Serif" w:cs="Times New Roman"/>
          <w:sz w:val="24"/>
          <w:szCs w:val="24"/>
        </w:rPr>
        <w:t>denote la</w:t>
      </w:r>
      <w:r w:rsidR="00CC1821" w:rsidRPr="000430DB">
        <w:rPr>
          <w:rFonts w:ascii="PT Serif" w:hAnsi="PT Serif" w:cs="Times New Roman"/>
          <w:sz w:val="24"/>
          <w:szCs w:val="24"/>
        </w:rPr>
        <w:t xml:space="preserve"> inexistencia</w:t>
      </w:r>
      <w:r w:rsidR="00BF5FEB">
        <w:rPr>
          <w:rFonts w:ascii="PT Serif" w:hAnsi="PT Serif" w:cs="Times New Roman"/>
          <w:sz w:val="24"/>
          <w:szCs w:val="24"/>
        </w:rPr>
        <w:t xml:space="preserve"> de</w:t>
      </w:r>
      <w:r w:rsidR="003E5212" w:rsidRPr="000430DB">
        <w:rPr>
          <w:rFonts w:ascii="PT Serif" w:hAnsi="PT Serif" w:cs="Times New Roman"/>
          <w:sz w:val="24"/>
          <w:szCs w:val="24"/>
        </w:rPr>
        <w:t xml:space="preserve"> </w:t>
      </w:r>
      <w:r w:rsidR="00CC1821" w:rsidRPr="000430DB">
        <w:rPr>
          <w:rFonts w:ascii="PT Serif" w:hAnsi="PT Serif" w:cs="Times New Roman"/>
          <w:sz w:val="24"/>
          <w:szCs w:val="24"/>
        </w:rPr>
        <w:t>un vínculo obligatorio</w:t>
      </w:r>
      <w:r w:rsidR="003E5212" w:rsidRPr="000430DB">
        <w:rPr>
          <w:rFonts w:ascii="PT Serif" w:hAnsi="PT Serif" w:cs="Times New Roman"/>
          <w:sz w:val="24"/>
          <w:szCs w:val="24"/>
        </w:rPr>
        <w:t xml:space="preserve"> </w:t>
      </w:r>
      <w:r w:rsidR="00BF5FEB">
        <w:rPr>
          <w:rFonts w:ascii="PT Serif" w:hAnsi="PT Serif" w:cs="Times New Roman"/>
          <w:sz w:val="24"/>
          <w:szCs w:val="24"/>
        </w:rPr>
        <w:t>entre</w:t>
      </w:r>
      <w:r w:rsidR="003E5212" w:rsidRPr="000430DB">
        <w:rPr>
          <w:rFonts w:ascii="PT Serif" w:hAnsi="PT Serif" w:cs="Times New Roman"/>
          <w:sz w:val="24"/>
          <w:szCs w:val="24"/>
        </w:rPr>
        <w:t xml:space="preserve"> las resoluciones de la CoIDH </w:t>
      </w:r>
      <w:r w:rsidR="00BF5FEB">
        <w:rPr>
          <w:rFonts w:ascii="PT Serif" w:hAnsi="PT Serif" w:cs="Times New Roman"/>
          <w:sz w:val="24"/>
          <w:szCs w:val="24"/>
        </w:rPr>
        <w:t>y la actuación de los</w:t>
      </w:r>
      <w:r w:rsidR="003E5212" w:rsidRPr="000430DB">
        <w:rPr>
          <w:rFonts w:ascii="PT Serif" w:hAnsi="PT Serif" w:cs="Times New Roman"/>
          <w:sz w:val="24"/>
          <w:szCs w:val="24"/>
        </w:rPr>
        <w:t xml:space="preserve"> Estados de </w:t>
      </w:r>
      <w:r w:rsidR="00BF5FEB">
        <w:rPr>
          <w:rFonts w:ascii="PT Serif" w:hAnsi="PT Serif" w:cs="Times New Roman"/>
          <w:sz w:val="24"/>
          <w:szCs w:val="24"/>
        </w:rPr>
        <w:t>Perú y México</w:t>
      </w:r>
      <w:r w:rsidR="003E5212" w:rsidRPr="000430DB">
        <w:rPr>
          <w:rFonts w:ascii="PT Serif" w:hAnsi="PT Serif" w:cs="Times New Roman"/>
          <w:sz w:val="24"/>
          <w:szCs w:val="24"/>
        </w:rPr>
        <w:t>.</w:t>
      </w:r>
    </w:p>
    <w:p w14:paraId="71F80945" w14:textId="199C0F9C" w:rsidR="00727A3A" w:rsidRPr="000430DB" w:rsidRDefault="003E5212" w:rsidP="009E5EE5">
      <w:pPr>
        <w:spacing w:line="360" w:lineRule="auto"/>
        <w:ind w:firstLine="720"/>
        <w:jc w:val="both"/>
        <w:rPr>
          <w:rFonts w:ascii="PT Serif" w:hAnsi="PT Serif" w:cs="Times New Roman"/>
          <w:sz w:val="24"/>
          <w:szCs w:val="24"/>
        </w:rPr>
      </w:pPr>
      <w:r w:rsidRPr="000430DB">
        <w:rPr>
          <w:rFonts w:ascii="PT Serif" w:hAnsi="PT Serif" w:cs="Times New Roman"/>
          <w:sz w:val="24"/>
          <w:szCs w:val="24"/>
        </w:rPr>
        <w:t>Ambos países han reconocido la competencia contenciosa de la CoIDH y, con ello, aceptan las obligaciones que de ella derivan. En consecuencia,</w:t>
      </w:r>
      <w:r w:rsidR="00A30110">
        <w:rPr>
          <w:rFonts w:ascii="PT Serif" w:hAnsi="PT Serif" w:cs="Times New Roman"/>
          <w:sz w:val="24"/>
          <w:szCs w:val="24"/>
        </w:rPr>
        <w:t xml:space="preserve"> este tribunal </w:t>
      </w:r>
      <w:r w:rsidRPr="000430DB">
        <w:rPr>
          <w:rFonts w:ascii="PT Serif" w:hAnsi="PT Serif" w:cs="Times New Roman"/>
          <w:sz w:val="24"/>
          <w:szCs w:val="24"/>
        </w:rPr>
        <w:t xml:space="preserve">tiene la facultad de ordenar su cumplimiento tanto en aspectos </w:t>
      </w:r>
      <w:r w:rsidRPr="000430DB">
        <w:rPr>
          <w:rFonts w:ascii="PT Serif" w:hAnsi="PT Serif" w:cs="Times New Roman"/>
          <w:i/>
          <w:iCs/>
          <w:sz w:val="24"/>
          <w:szCs w:val="24"/>
        </w:rPr>
        <w:t xml:space="preserve">inter </w:t>
      </w:r>
      <w:r w:rsidR="009211C1" w:rsidRPr="000430DB">
        <w:rPr>
          <w:rFonts w:ascii="PT Serif" w:hAnsi="PT Serif" w:cs="Times New Roman"/>
          <w:i/>
          <w:iCs/>
          <w:sz w:val="24"/>
          <w:szCs w:val="24"/>
        </w:rPr>
        <w:t>partes</w:t>
      </w:r>
      <w:r w:rsidRPr="000430DB">
        <w:rPr>
          <w:rFonts w:ascii="PT Serif" w:hAnsi="PT Serif" w:cs="Times New Roman"/>
          <w:sz w:val="24"/>
          <w:szCs w:val="24"/>
        </w:rPr>
        <w:t xml:space="preserve"> como en aquellos con efectos </w:t>
      </w:r>
      <w:r w:rsidRPr="000430DB">
        <w:rPr>
          <w:rFonts w:ascii="PT Serif" w:hAnsi="PT Serif" w:cs="Times New Roman"/>
          <w:i/>
          <w:iCs/>
          <w:sz w:val="24"/>
          <w:szCs w:val="24"/>
        </w:rPr>
        <w:t>erga omnes</w:t>
      </w:r>
      <w:r w:rsidRPr="000430DB">
        <w:rPr>
          <w:rFonts w:ascii="PT Serif" w:hAnsi="PT Serif" w:cs="Times New Roman"/>
          <w:sz w:val="24"/>
          <w:szCs w:val="24"/>
        </w:rPr>
        <w:t>. Esta obligación se encuentra respaldada por los artículos 67 y 68 de la CADH, que establecen que los fallos de la CoIDH son “definitivos e inapelables” y que los Estados deben “cumplir la decisión de la Corte en todo caso en que sean partes” (Rojas, 2015, pp. 71-72).</w:t>
      </w:r>
      <w:r w:rsidR="009E5EE5">
        <w:rPr>
          <w:rFonts w:ascii="PT Serif" w:hAnsi="PT Serif" w:cs="Times New Roman"/>
          <w:sz w:val="24"/>
          <w:szCs w:val="24"/>
        </w:rPr>
        <w:t xml:space="preserve"> </w:t>
      </w:r>
      <w:r w:rsidR="00727A3A">
        <w:rPr>
          <w:rFonts w:ascii="PT Serif" w:hAnsi="PT Serif" w:cs="Times New Roman"/>
          <w:sz w:val="24"/>
          <w:szCs w:val="24"/>
        </w:rPr>
        <w:t xml:space="preserve">Igualmente, cabe lugar el artículo 63 del </w:t>
      </w:r>
      <w:r w:rsidR="00727A3A">
        <w:rPr>
          <w:rFonts w:ascii="PT Serif" w:hAnsi="PT Serif" w:cs="Times New Roman"/>
          <w:sz w:val="24"/>
          <w:szCs w:val="24"/>
        </w:rPr>
        <w:lastRenderedPageBreak/>
        <w:t xml:space="preserve">ordenamiento internacional citado, que </w:t>
      </w:r>
      <w:r w:rsidR="009E5EE5">
        <w:rPr>
          <w:rFonts w:ascii="PT Serif" w:hAnsi="PT Serif" w:cs="Times New Roman"/>
          <w:sz w:val="24"/>
          <w:szCs w:val="24"/>
        </w:rPr>
        <w:t>regula</w:t>
      </w:r>
      <w:r w:rsidR="00727A3A">
        <w:rPr>
          <w:rFonts w:ascii="PT Serif" w:hAnsi="PT Serif" w:cs="Times New Roman"/>
          <w:sz w:val="24"/>
          <w:szCs w:val="24"/>
        </w:rPr>
        <w:t xml:space="preserve"> la obligación estatal de responder a las medidas de reparación cuando se haya lesionado el goce de un derecho o libertad conculcados</w:t>
      </w:r>
      <w:r w:rsidR="009E5EE5">
        <w:rPr>
          <w:rFonts w:ascii="PT Serif" w:hAnsi="PT Serif" w:cs="Times New Roman"/>
          <w:sz w:val="24"/>
          <w:szCs w:val="24"/>
        </w:rPr>
        <w:t xml:space="preserve"> (citado por Barrera, 2018, p. 370). </w:t>
      </w:r>
    </w:p>
    <w:p w14:paraId="3981039C" w14:textId="742A0A16" w:rsidR="00C148C4" w:rsidRPr="000430DB" w:rsidRDefault="003E5212"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Bajo esta premisa, </w:t>
      </w:r>
      <w:r w:rsidR="0071644D" w:rsidRPr="000430DB">
        <w:rPr>
          <w:rFonts w:ascii="PT Serif" w:hAnsi="PT Serif" w:cs="Times New Roman"/>
          <w:sz w:val="24"/>
          <w:szCs w:val="24"/>
        </w:rPr>
        <w:t xml:space="preserve">se entiende el motivo por el cual </w:t>
      </w:r>
      <w:r w:rsidRPr="000430DB">
        <w:rPr>
          <w:rFonts w:ascii="PT Serif" w:hAnsi="PT Serif" w:cs="Times New Roman"/>
          <w:sz w:val="24"/>
          <w:szCs w:val="24"/>
        </w:rPr>
        <w:t xml:space="preserve">la explicación del incumplimiento debe analizarse desde perspectivas teóricas que, si bien en un primer momento pueden parecer abstractas, encuentran sustento en la conducta observable de los Estados. En este sentido, revisemos </w:t>
      </w:r>
      <w:r w:rsidR="00CE1D34" w:rsidRPr="000430DB">
        <w:rPr>
          <w:rFonts w:ascii="PT Serif" w:hAnsi="PT Serif" w:cs="Times New Roman"/>
          <w:sz w:val="24"/>
          <w:szCs w:val="24"/>
        </w:rPr>
        <w:t xml:space="preserve">dos </w:t>
      </w:r>
      <w:r w:rsidRPr="000430DB">
        <w:rPr>
          <w:rFonts w:ascii="PT Serif" w:hAnsi="PT Serif" w:cs="Times New Roman"/>
          <w:sz w:val="24"/>
          <w:szCs w:val="24"/>
        </w:rPr>
        <w:t>teorías</w:t>
      </w:r>
      <w:r w:rsidR="0071644D" w:rsidRPr="000430DB">
        <w:rPr>
          <w:rFonts w:ascii="PT Serif" w:hAnsi="PT Serif" w:cs="Times New Roman"/>
          <w:sz w:val="24"/>
          <w:szCs w:val="24"/>
        </w:rPr>
        <w:t xml:space="preserve"> fundamentales que a nuestro criterio</w:t>
      </w:r>
      <w:r w:rsidRPr="000430DB">
        <w:rPr>
          <w:rFonts w:ascii="PT Serif" w:hAnsi="PT Serif" w:cs="Times New Roman"/>
          <w:sz w:val="24"/>
          <w:szCs w:val="24"/>
        </w:rPr>
        <w:t xml:space="preserve"> llegan a explicar </w:t>
      </w:r>
      <w:r w:rsidR="005163D6" w:rsidRPr="000430DB">
        <w:rPr>
          <w:rFonts w:ascii="PT Serif" w:hAnsi="PT Serif" w:cs="Times New Roman"/>
          <w:sz w:val="24"/>
          <w:szCs w:val="24"/>
        </w:rPr>
        <w:t>el fenómeno de incumplimiento</w:t>
      </w:r>
      <w:r w:rsidRPr="000430DB">
        <w:rPr>
          <w:rFonts w:ascii="PT Serif" w:hAnsi="PT Serif" w:cs="Times New Roman"/>
          <w:sz w:val="24"/>
          <w:szCs w:val="24"/>
        </w:rPr>
        <w:t xml:space="preserve">. </w:t>
      </w:r>
    </w:p>
    <w:p w14:paraId="6E2B83A4" w14:textId="5A2F4463" w:rsidR="00887B51" w:rsidRPr="000430DB" w:rsidRDefault="00887B51" w:rsidP="00887B51">
      <w:pPr>
        <w:pStyle w:val="Prrafodelista"/>
        <w:numPr>
          <w:ilvl w:val="0"/>
          <w:numId w:val="22"/>
        </w:numPr>
        <w:spacing w:line="360" w:lineRule="auto"/>
        <w:jc w:val="both"/>
        <w:rPr>
          <w:rFonts w:ascii="PT Serif" w:hAnsi="PT Serif" w:cs="Times New Roman"/>
          <w:sz w:val="24"/>
          <w:szCs w:val="24"/>
        </w:rPr>
      </w:pPr>
      <w:r w:rsidRPr="000430DB">
        <w:rPr>
          <w:rFonts w:ascii="PT Serif" w:hAnsi="PT Serif" w:cs="Times New Roman"/>
          <w:i/>
          <w:iCs/>
          <w:sz w:val="24"/>
          <w:szCs w:val="24"/>
        </w:rPr>
        <w:t>LA FRAGMENTACIÓN DEL DERECHO INTERNACIONAL</w:t>
      </w:r>
    </w:p>
    <w:p w14:paraId="1BAB3F0B" w14:textId="7184E6A9" w:rsidR="00887B51" w:rsidRDefault="003E5212" w:rsidP="00F417BE">
      <w:pPr>
        <w:spacing w:line="360" w:lineRule="auto"/>
        <w:ind w:firstLine="720"/>
        <w:jc w:val="both"/>
        <w:rPr>
          <w:rFonts w:ascii="PT Serif" w:hAnsi="PT Serif" w:cs="Times New Roman"/>
          <w:sz w:val="24"/>
          <w:szCs w:val="24"/>
        </w:rPr>
      </w:pPr>
      <w:r w:rsidRPr="000430DB">
        <w:rPr>
          <w:rFonts w:ascii="PT Serif" w:hAnsi="PT Serif" w:cs="Times New Roman"/>
          <w:sz w:val="24"/>
          <w:szCs w:val="24"/>
        </w:rPr>
        <w:t>Según Koskenniemi (2006), la fragmentación del derecho internacional es el resultado de la proliferación de normas, instituciones jurídicas y prácticas especializadas relativamente autónomas. Lo que antes era un derecho internacional generalizad</w:t>
      </w:r>
      <w:r w:rsidR="00D70B7E" w:rsidRPr="000430DB">
        <w:rPr>
          <w:rFonts w:ascii="PT Serif" w:hAnsi="PT Serif" w:cs="Times New Roman"/>
          <w:sz w:val="24"/>
          <w:szCs w:val="24"/>
        </w:rPr>
        <w:t xml:space="preserve">o, </w:t>
      </w:r>
      <w:r w:rsidRPr="000430DB">
        <w:rPr>
          <w:rFonts w:ascii="PT Serif" w:hAnsi="PT Serif" w:cs="Times New Roman"/>
          <w:sz w:val="24"/>
          <w:szCs w:val="24"/>
        </w:rPr>
        <w:t>en este caso</w:t>
      </w:r>
      <w:r w:rsidR="00D70B7E" w:rsidRPr="000430DB">
        <w:rPr>
          <w:rFonts w:ascii="PT Serif" w:hAnsi="PT Serif" w:cs="Times New Roman"/>
          <w:sz w:val="24"/>
          <w:szCs w:val="24"/>
        </w:rPr>
        <w:t xml:space="preserve"> </w:t>
      </w:r>
      <w:r w:rsidRPr="000430DB">
        <w:rPr>
          <w:rFonts w:ascii="PT Serif" w:hAnsi="PT Serif" w:cs="Times New Roman"/>
          <w:sz w:val="24"/>
          <w:szCs w:val="24"/>
        </w:rPr>
        <w:t>representado por la CADH y las sentencias de la CoIDH</w:t>
      </w:r>
      <w:r w:rsidR="00D70B7E" w:rsidRPr="000430DB">
        <w:rPr>
          <w:rFonts w:ascii="PT Serif" w:hAnsi="PT Serif" w:cs="Times New Roman"/>
          <w:sz w:val="24"/>
          <w:szCs w:val="24"/>
        </w:rPr>
        <w:t xml:space="preserve">, </w:t>
      </w:r>
      <w:r w:rsidRPr="000430DB">
        <w:rPr>
          <w:rFonts w:ascii="PT Serif" w:hAnsi="PT Serif" w:cs="Times New Roman"/>
          <w:sz w:val="24"/>
          <w:szCs w:val="24"/>
        </w:rPr>
        <w:t>se ha convertido en un ámbito dominado por sistemas jurídicos especializados que, en muchos casos, operan sin coordinación con el resto del ordenamiento jurídico internacional. Esto ha generado conflictos normativos, prácticas institucionales divergentes y la adopción de interpretaciones diferenciadas sobre los derechos humanos (p. 12)</w:t>
      </w:r>
      <w:r w:rsidR="00887B51" w:rsidRPr="000430DB">
        <w:rPr>
          <w:rFonts w:ascii="PT Serif" w:hAnsi="PT Serif" w:cs="Times New Roman"/>
          <w:sz w:val="24"/>
          <w:szCs w:val="24"/>
        </w:rPr>
        <w:t xml:space="preserve">. </w:t>
      </w:r>
    </w:p>
    <w:p w14:paraId="5DCA8220" w14:textId="1790866E" w:rsidR="00887B51" w:rsidRPr="000430DB" w:rsidRDefault="003E5212" w:rsidP="00F417BE">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En el contexto analizado, la fragmentación del derecho internacional es evidente en el manejo que </w:t>
      </w:r>
      <w:r w:rsidR="00BF5FEB">
        <w:rPr>
          <w:rFonts w:ascii="PT Serif" w:hAnsi="PT Serif" w:cs="Times New Roman"/>
          <w:sz w:val="24"/>
          <w:szCs w:val="24"/>
        </w:rPr>
        <w:t>Perú y México</w:t>
      </w:r>
      <w:r w:rsidRPr="000430DB">
        <w:rPr>
          <w:rFonts w:ascii="PT Serif" w:hAnsi="PT Serif" w:cs="Times New Roman"/>
          <w:sz w:val="24"/>
          <w:szCs w:val="24"/>
        </w:rPr>
        <w:t xml:space="preserve"> han dado a las sentencias de la CoIDH. </w:t>
      </w:r>
      <w:r w:rsidRPr="000430DB">
        <w:rPr>
          <w:rFonts w:ascii="PT Serif" w:hAnsi="PT Serif"/>
          <w:sz w:val="24"/>
          <w:szCs w:val="24"/>
        </w:rPr>
        <w:t xml:space="preserve">En México, esta fragmentación se manifiesta en la próxima supervisión de la sentencia del caso Alvarado Espinoza, en la que se analizará </w:t>
      </w:r>
      <w:r w:rsidR="00AE40C8" w:rsidRPr="000430DB">
        <w:rPr>
          <w:rFonts w:ascii="PT Serif" w:hAnsi="PT Serif"/>
          <w:sz w:val="24"/>
          <w:szCs w:val="24"/>
        </w:rPr>
        <w:t xml:space="preserve">la compatibilidad entre </w:t>
      </w:r>
      <w:r w:rsidRPr="000430DB">
        <w:rPr>
          <w:rFonts w:ascii="PT Serif" w:hAnsi="PT Serif"/>
          <w:sz w:val="24"/>
          <w:szCs w:val="24"/>
        </w:rPr>
        <w:t>la reforma constitucional en materia de Guardia Nacional</w:t>
      </w:r>
      <w:r w:rsidR="00AE40C8" w:rsidRPr="000430DB">
        <w:rPr>
          <w:rFonts w:ascii="PT Serif" w:hAnsi="PT Serif"/>
          <w:sz w:val="24"/>
          <w:szCs w:val="24"/>
        </w:rPr>
        <w:t xml:space="preserve"> con el cumplimiento de las previsiones y medidas adoptadas en el sentencia emitida</w:t>
      </w:r>
      <w:r w:rsidRPr="000430DB">
        <w:rPr>
          <w:rFonts w:ascii="PT Serif" w:hAnsi="PT Serif"/>
          <w:sz w:val="24"/>
          <w:szCs w:val="24"/>
        </w:rPr>
        <w:t xml:space="preserve">. </w:t>
      </w:r>
    </w:p>
    <w:p w14:paraId="55240E19" w14:textId="77777777" w:rsidR="00887B51" w:rsidRPr="000430DB" w:rsidRDefault="00AE40C8" w:rsidP="00887B51">
      <w:pPr>
        <w:spacing w:line="360" w:lineRule="auto"/>
        <w:ind w:firstLine="720"/>
        <w:jc w:val="both"/>
        <w:rPr>
          <w:rFonts w:ascii="PT Serif" w:hAnsi="PT Serif" w:cs="Times New Roman"/>
          <w:sz w:val="24"/>
          <w:szCs w:val="24"/>
        </w:rPr>
      </w:pPr>
      <w:r w:rsidRPr="000430DB">
        <w:rPr>
          <w:rFonts w:ascii="PT Serif" w:hAnsi="PT Serif"/>
          <w:sz w:val="24"/>
          <w:szCs w:val="24"/>
        </w:rPr>
        <w:lastRenderedPageBreak/>
        <w:t>Como se llegaba a comentar, d</w:t>
      </w:r>
      <w:r w:rsidR="003E5212" w:rsidRPr="000430DB">
        <w:rPr>
          <w:rFonts w:ascii="PT Serif" w:hAnsi="PT Serif"/>
          <w:sz w:val="24"/>
          <w:szCs w:val="24"/>
        </w:rPr>
        <w:t>icha reforma ha reforzado el papel de las fuerzas armadas en tareas de seguridad pública, a pesar de que la CoIDH ha establecido que la militarización de la seguridad civil constituye una vulneración de derechos como la integridad personal, la personalidad jurídica, la vida y la libertad personal.</w:t>
      </w:r>
    </w:p>
    <w:p w14:paraId="2C749360" w14:textId="77777777" w:rsidR="00887B51" w:rsidRPr="000430DB" w:rsidRDefault="003E5212"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Sin embargo, desde la perspectiva del Estado mexicano, la reforma tiene como objetivo fortalecer las capacidades institucionales para garantizar la seguridad ciudadana y la vigencia del Estado de derecho, así como el goce efectivo de los derechos humanos en su territorio (Cámara de Diputados, 2024, p. 1).  Así, se presenta una interpretación distinta del mismo derecho, en la que la “seguridad pública” y la “estabilidad del Estado” prevalecen sobre las restricciones impuestas por la CoIDH en materia de participación militar.</w:t>
      </w:r>
    </w:p>
    <w:p w14:paraId="0F4DEC9D" w14:textId="77777777" w:rsidR="00887B51" w:rsidRPr="000430DB" w:rsidRDefault="003E5212"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En Perú, la fragmentación del derecho internacional se evidenció con el indulto concedido a Alberto Fujimori por razones humanitarias. En su resolución de supervisión del caso La Cantuta, la CoIDH determinó que el cumplimiento de una pena impuesta a responsables de graves violaciones de derechos humanos forma parte integral del derecho de las víctimas y sus familiares al acceso a la justicia. Por tanto, prohibió la concesión de beneficios indebidos que pudieran derivar en impunidad (CoIDH, 2022, p. 7).</w:t>
      </w:r>
    </w:p>
    <w:p w14:paraId="78F23112" w14:textId="0BD1DC71" w:rsidR="00C148C4" w:rsidRPr="000430DB" w:rsidRDefault="003E5212"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No obstante, el Estado peruano interpretó la situación desde una óptica diferente, priorizando la protección del derecho a la salud del expresidente y argumentando que el indulto serviría como un mecanismo para la reconciliación nacional. Así, se configuró otro ejemplo de fragmentación, en el que las normas internacionales sobre justicia transicional fueron desplazadas por consideraciones de política interna</w:t>
      </w:r>
      <w:r w:rsidR="005163D6" w:rsidRPr="000430DB">
        <w:rPr>
          <w:rFonts w:ascii="PT Serif" w:hAnsi="PT Serif" w:cs="Times New Roman"/>
          <w:sz w:val="24"/>
          <w:szCs w:val="24"/>
        </w:rPr>
        <w:t xml:space="preserve"> con base en una noción distinta de los derechos que se habrían de privilegiar</w:t>
      </w:r>
      <w:r w:rsidR="00AE40C8" w:rsidRPr="000430DB">
        <w:rPr>
          <w:rFonts w:ascii="PT Serif" w:hAnsi="PT Serif" w:cs="Times New Roman"/>
          <w:sz w:val="24"/>
          <w:szCs w:val="24"/>
        </w:rPr>
        <w:t xml:space="preserve"> en una ponderación. </w:t>
      </w:r>
    </w:p>
    <w:p w14:paraId="79CB14AD" w14:textId="433D8730" w:rsidR="00887B51" w:rsidRPr="000430DB" w:rsidRDefault="00887B51" w:rsidP="00887B51">
      <w:pPr>
        <w:pStyle w:val="Prrafodelista"/>
        <w:numPr>
          <w:ilvl w:val="0"/>
          <w:numId w:val="22"/>
        </w:numPr>
        <w:spacing w:line="360" w:lineRule="auto"/>
        <w:jc w:val="both"/>
        <w:rPr>
          <w:rFonts w:ascii="PT Serif" w:hAnsi="PT Serif" w:cs="Times New Roman"/>
          <w:sz w:val="24"/>
          <w:szCs w:val="24"/>
        </w:rPr>
      </w:pPr>
      <w:r w:rsidRPr="000430DB">
        <w:rPr>
          <w:rFonts w:ascii="PT Serif" w:hAnsi="PT Serif" w:cs="Times New Roman"/>
          <w:i/>
          <w:iCs/>
          <w:sz w:val="24"/>
          <w:szCs w:val="24"/>
        </w:rPr>
        <w:lastRenderedPageBreak/>
        <w:t>LA CRISIS DE LA LEGITIMIDAD INTERNACIONAL</w:t>
      </w:r>
      <w:r w:rsidR="008D43AA" w:rsidRPr="000430DB">
        <w:rPr>
          <w:rFonts w:ascii="PT Serif" w:hAnsi="PT Serif" w:cs="Times New Roman"/>
          <w:i/>
          <w:iCs/>
          <w:sz w:val="24"/>
          <w:szCs w:val="24"/>
        </w:rPr>
        <w:t>: SOBER</w:t>
      </w:r>
      <w:r w:rsidR="00F243FD">
        <w:rPr>
          <w:rFonts w:ascii="PT Serif" w:hAnsi="PT Serif" w:cs="Times New Roman"/>
          <w:i/>
          <w:iCs/>
          <w:sz w:val="24"/>
          <w:szCs w:val="24"/>
        </w:rPr>
        <w:t>A</w:t>
      </w:r>
      <w:r w:rsidR="008D43AA" w:rsidRPr="000430DB">
        <w:rPr>
          <w:rFonts w:ascii="PT Serif" w:hAnsi="PT Serif" w:cs="Times New Roman"/>
          <w:i/>
          <w:iCs/>
          <w:sz w:val="24"/>
          <w:szCs w:val="24"/>
        </w:rPr>
        <w:t>NÍA NACIONAL</w:t>
      </w:r>
    </w:p>
    <w:p w14:paraId="1908854F" w14:textId="77777777" w:rsidR="00887B51" w:rsidRPr="000430DB" w:rsidRDefault="00444438"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Nico </w:t>
      </w:r>
      <w:r w:rsidR="008D0F86" w:rsidRPr="000430DB">
        <w:rPr>
          <w:rFonts w:ascii="PT Serif" w:hAnsi="PT Serif" w:cs="Times New Roman"/>
          <w:sz w:val="24"/>
          <w:szCs w:val="24"/>
        </w:rPr>
        <w:t>Krisch, reconocido como uno de los principales teóricos del Derecho Administrativo Global, ha desarrollado una tesis fundamental que puede ser vinculante para comprender algunas de las razones por las cuales el Estado adopta una postura reticente frente a los lineamientos internacionales adversos a su actuación</w:t>
      </w:r>
      <w:r w:rsidR="007B6735" w:rsidRPr="000430DB">
        <w:rPr>
          <w:rFonts w:ascii="PT Serif" w:hAnsi="PT Serif" w:cs="Times New Roman"/>
          <w:sz w:val="24"/>
          <w:szCs w:val="24"/>
        </w:rPr>
        <w:t xml:space="preserve">. </w:t>
      </w:r>
    </w:p>
    <w:p w14:paraId="62E327E4" w14:textId="1A64770D" w:rsidR="00887B51" w:rsidRPr="000430DB" w:rsidRDefault="008D0F8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En su obra </w:t>
      </w:r>
      <w:r w:rsidRPr="000430DB">
        <w:rPr>
          <w:rFonts w:ascii="PT Serif" w:hAnsi="PT Serif" w:cs="Times New Roman"/>
          <w:i/>
          <w:iCs/>
          <w:sz w:val="24"/>
          <w:szCs w:val="24"/>
        </w:rPr>
        <w:t>Beyond Constitutionalism: The Pluralist Structure of Postnational Law</w:t>
      </w:r>
      <w:r w:rsidRPr="000430DB">
        <w:rPr>
          <w:rFonts w:ascii="PT Serif" w:hAnsi="PT Serif" w:cs="Times New Roman"/>
          <w:sz w:val="24"/>
          <w:szCs w:val="24"/>
        </w:rPr>
        <w:t>, sostiene que el Derecho Internacional enfrenta una crisis de legitimidad, pues su fundamento ya no resulta idóneo “para la tarea”, al haberse tornado, aparentemente, “demasiado formalista y antidemocrático”</w:t>
      </w:r>
      <w:r w:rsidR="001F3F57" w:rsidRPr="000430DB">
        <w:rPr>
          <w:rFonts w:ascii="PT Serif" w:hAnsi="PT Serif" w:cs="Times New Roman"/>
          <w:sz w:val="24"/>
          <w:szCs w:val="24"/>
        </w:rPr>
        <w:t xml:space="preserve"> en la medida de que el </w:t>
      </w:r>
      <w:r w:rsidRPr="000430DB">
        <w:rPr>
          <w:rFonts w:ascii="PT Serif" w:hAnsi="PT Serif" w:cs="Times New Roman"/>
          <w:sz w:val="24"/>
          <w:szCs w:val="24"/>
        </w:rPr>
        <w:t xml:space="preserve">Derecho Internacional </w:t>
      </w:r>
      <w:r w:rsidR="001F3F57" w:rsidRPr="000430DB">
        <w:rPr>
          <w:rFonts w:ascii="PT Serif" w:hAnsi="PT Serif" w:cs="Times New Roman"/>
          <w:sz w:val="24"/>
          <w:szCs w:val="24"/>
        </w:rPr>
        <w:t>ha buscado</w:t>
      </w:r>
      <w:r w:rsidRPr="000430DB">
        <w:rPr>
          <w:rFonts w:ascii="PT Serif" w:hAnsi="PT Serif" w:cs="Times New Roman"/>
          <w:sz w:val="24"/>
          <w:szCs w:val="24"/>
        </w:rPr>
        <w:t xml:space="preserve"> despojar al derecho interno de su “ancla paradigmática”, es decir, del principio rector que estructura el ordenamiento jurídico nacional</w:t>
      </w:r>
      <w:r w:rsidR="001F3F57" w:rsidRPr="000430DB">
        <w:rPr>
          <w:rFonts w:ascii="PT Serif" w:hAnsi="PT Serif" w:cs="Times New Roman"/>
          <w:sz w:val="24"/>
          <w:szCs w:val="24"/>
        </w:rPr>
        <w:t xml:space="preserve"> </w:t>
      </w:r>
      <w:r w:rsidR="0071644D" w:rsidRPr="000430DB">
        <w:rPr>
          <w:rFonts w:ascii="PT Serif" w:hAnsi="PT Serif" w:cs="Times New Roman"/>
          <w:sz w:val="24"/>
          <w:szCs w:val="24"/>
        </w:rPr>
        <w:t>(citado en Pauwelyn, 2013, p. 575)</w:t>
      </w:r>
      <w:r w:rsidR="004529AE">
        <w:rPr>
          <w:rStyle w:val="Refdenotaalpie"/>
          <w:rFonts w:ascii="PT Serif" w:hAnsi="PT Serif" w:cs="Times New Roman"/>
          <w:sz w:val="24"/>
          <w:szCs w:val="24"/>
        </w:rPr>
        <w:footnoteReference w:id="19"/>
      </w:r>
      <w:r w:rsidR="0071644D" w:rsidRPr="000430DB">
        <w:rPr>
          <w:rFonts w:ascii="PT Serif" w:hAnsi="PT Serif" w:cs="Times New Roman"/>
          <w:sz w:val="24"/>
          <w:szCs w:val="24"/>
        </w:rPr>
        <w:t xml:space="preserve">. </w:t>
      </w:r>
    </w:p>
    <w:p w14:paraId="43292F31" w14:textId="13AF5B30" w:rsidR="008D0F86" w:rsidRDefault="001F3F57" w:rsidP="00F417BE">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A partir de ello, </w:t>
      </w:r>
      <w:r w:rsidR="00876749" w:rsidRPr="000430DB">
        <w:rPr>
          <w:rFonts w:ascii="PT Serif" w:hAnsi="PT Serif" w:cs="Times New Roman"/>
          <w:sz w:val="24"/>
          <w:szCs w:val="24"/>
        </w:rPr>
        <w:t xml:space="preserve">el Estado, inmerso en </w:t>
      </w:r>
      <w:r w:rsidR="006A1509" w:rsidRPr="000430DB">
        <w:rPr>
          <w:rFonts w:ascii="PT Serif" w:hAnsi="PT Serif" w:cs="Times New Roman"/>
          <w:sz w:val="24"/>
          <w:szCs w:val="24"/>
        </w:rPr>
        <w:t>la</w:t>
      </w:r>
      <w:r w:rsidR="00876749" w:rsidRPr="000430DB">
        <w:rPr>
          <w:rFonts w:ascii="PT Serif" w:hAnsi="PT Serif" w:cs="Times New Roman"/>
          <w:sz w:val="24"/>
          <w:szCs w:val="24"/>
        </w:rPr>
        <w:t xml:space="preserve"> idea</w:t>
      </w:r>
      <w:r w:rsidR="006A1509" w:rsidRPr="000430DB">
        <w:rPr>
          <w:rFonts w:ascii="PT Serif" w:hAnsi="PT Serif" w:cs="Times New Roman"/>
          <w:sz w:val="24"/>
          <w:szCs w:val="24"/>
        </w:rPr>
        <w:t xml:space="preserve"> de soberanía y, por consiguiente, tener que</w:t>
      </w:r>
      <w:r w:rsidR="00876749" w:rsidRPr="000430DB">
        <w:rPr>
          <w:rFonts w:ascii="PT Serif" w:hAnsi="PT Serif" w:cs="Times New Roman"/>
          <w:sz w:val="24"/>
          <w:szCs w:val="24"/>
        </w:rPr>
        <w:t xml:space="preserve"> ser la última palabra en todas las decisiones que se adopten en el marco interno, se ve </w:t>
      </w:r>
      <w:r w:rsidR="00406AA5" w:rsidRPr="000430DB">
        <w:rPr>
          <w:rFonts w:ascii="PT Serif" w:hAnsi="PT Serif" w:cs="Times New Roman"/>
          <w:sz w:val="24"/>
          <w:szCs w:val="24"/>
        </w:rPr>
        <w:t>instado</w:t>
      </w:r>
      <w:r w:rsidR="00876749" w:rsidRPr="000430DB">
        <w:rPr>
          <w:rFonts w:ascii="PT Serif" w:hAnsi="PT Serif" w:cs="Times New Roman"/>
          <w:sz w:val="24"/>
          <w:szCs w:val="24"/>
        </w:rPr>
        <w:t xml:space="preserve"> a desatender</w:t>
      </w:r>
      <w:r w:rsidR="006A1509" w:rsidRPr="000430DB">
        <w:rPr>
          <w:rFonts w:ascii="PT Serif" w:hAnsi="PT Serif" w:cs="Times New Roman"/>
          <w:sz w:val="24"/>
          <w:szCs w:val="24"/>
        </w:rPr>
        <w:t xml:space="preserve"> </w:t>
      </w:r>
      <w:r w:rsidR="00876749" w:rsidRPr="000430DB">
        <w:rPr>
          <w:rFonts w:ascii="PT Serif" w:hAnsi="PT Serif" w:cs="Times New Roman"/>
          <w:sz w:val="24"/>
          <w:szCs w:val="24"/>
        </w:rPr>
        <w:t xml:space="preserve">las resoluciones que llegan a interferir </w:t>
      </w:r>
      <w:r w:rsidR="006A1509" w:rsidRPr="000430DB">
        <w:rPr>
          <w:rFonts w:ascii="PT Serif" w:hAnsi="PT Serif" w:cs="Times New Roman"/>
          <w:sz w:val="24"/>
          <w:szCs w:val="24"/>
        </w:rPr>
        <w:t>mayoritariamente con sus intereses políticos</w:t>
      </w:r>
      <w:r w:rsidR="00876749" w:rsidRPr="000430DB">
        <w:rPr>
          <w:rFonts w:ascii="PT Serif" w:hAnsi="PT Serif" w:cs="Times New Roman"/>
          <w:sz w:val="24"/>
          <w:szCs w:val="24"/>
        </w:rPr>
        <w:t>, fomentando un debate constitucional sobre qué</w:t>
      </w:r>
      <w:r w:rsidR="007E44E8" w:rsidRPr="000430DB">
        <w:rPr>
          <w:rFonts w:ascii="PT Serif" w:hAnsi="PT Serif" w:cs="Times New Roman"/>
          <w:sz w:val="24"/>
          <w:szCs w:val="24"/>
        </w:rPr>
        <w:t xml:space="preserve"> fuerza realmente</w:t>
      </w:r>
      <w:r w:rsidR="00876749" w:rsidRPr="000430DB">
        <w:rPr>
          <w:rFonts w:ascii="PT Serif" w:hAnsi="PT Serif" w:cs="Times New Roman"/>
          <w:sz w:val="24"/>
          <w:szCs w:val="24"/>
        </w:rPr>
        <w:t xml:space="preserve"> llega a tener el derecho internacional, ya que ante la </w:t>
      </w:r>
      <w:r w:rsidR="00876749" w:rsidRPr="000430DB">
        <w:rPr>
          <w:rFonts w:ascii="PT Serif" w:hAnsi="PT Serif" w:cs="Times New Roman"/>
          <w:sz w:val="24"/>
          <w:szCs w:val="24"/>
        </w:rPr>
        <w:lastRenderedPageBreak/>
        <w:t xml:space="preserve">contradicción que </w:t>
      </w:r>
      <w:r w:rsidR="00DC04FC" w:rsidRPr="000430DB">
        <w:rPr>
          <w:rFonts w:ascii="PT Serif" w:hAnsi="PT Serif" w:cs="Times New Roman"/>
          <w:sz w:val="24"/>
          <w:szCs w:val="24"/>
        </w:rPr>
        <w:t>exista entre éste con los</w:t>
      </w:r>
      <w:r w:rsidR="00876749" w:rsidRPr="000430DB">
        <w:rPr>
          <w:rFonts w:ascii="PT Serif" w:hAnsi="PT Serif" w:cs="Times New Roman"/>
          <w:sz w:val="24"/>
          <w:szCs w:val="24"/>
        </w:rPr>
        <w:t xml:space="preserve"> criterios</w:t>
      </w:r>
      <w:r w:rsidR="005163D6" w:rsidRPr="000430DB">
        <w:rPr>
          <w:rFonts w:ascii="PT Serif" w:hAnsi="PT Serif" w:cs="Times New Roman"/>
          <w:sz w:val="24"/>
          <w:szCs w:val="24"/>
        </w:rPr>
        <w:t xml:space="preserve"> y </w:t>
      </w:r>
      <w:r w:rsidR="00876749" w:rsidRPr="000430DB">
        <w:rPr>
          <w:rFonts w:ascii="PT Serif" w:hAnsi="PT Serif" w:cs="Times New Roman"/>
          <w:sz w:val="24"/>
          <w:szCs w:val="24"/>
        </w:rPr>
        <w:t xml:space="preserve">normas </w:t>
      </w:r>
      <w:r w:rsidR="005163D6" w:rsidRPr="000430DB">
        <w:rPr>
          <w:rFonts w:ascii="PT Serif" w:hAnsi="PT Serif" w:cs="Times New Roman"/>
          <w:sz w:val="24"/>
          <w:szCs w:val="24"/>
        </w:rPr>
        <w:t>que sostengan la ideología del</w:t>
      </w:r>
      <w:r w:rsidR="00876749" w:rsidRPr="000430DB">
        <w:rPr>
          <w:rFonts w:ascii="PT Serif" w:hAnsi="PT Serif" w:cs="Times New Roman"/>
          <w:sz w:val="24"/>
          <w:szCs w:val="24"/>
        </w:rPr>
        <w:t xml:space="preserve"> </w:t>
      </w:r>
      <w:r w:rsidR="005163D6" w:rsidRPr="000430DB">
        <w:rPr>
          <w:rFonts w:ascii="PT Serif" w:hAnsi="PT Serif" w:cs="Times New Roman"/>
          <w:sz w:val="24"/>
          <w:szCs w:val="24"/>
        </w:rPr>
        <w:t>gobierno en turno</w:t>
      </w:r>
      <w:r w:rsidR="00876749" w:rsidRPr="000430DB">
        <w:rPr>
          <w:rFonts w:ascii="PT Serif" w:hAnsi="PT Serif" w:cs="Times New Roman"/>
          <w:sz w:val="24"/>
          <w:szCs w:val="24"/>
        </w:rPr>
        <w:t xml:space="preserve">, </w:t>
      </w:r>
      <w:r w:rsidR="00DC04FC" w:rsidRPr="000430DB">
        <w:rPr>
          <w:rFonts w:ascii="PT Serif" w:hAnsi="PT Serif" w:cs="Times New Roman"/>
          <w:sz w:val="24"/>
          <w:szCs w:val="24"/>
        </w:rPr>
        <w:t>se termina privilegiando a la sede interna pese a que llegue a implicar</w:t>
      </w:r>
      <w:r w:rsidR="005163D6" w:rsidRPr="000430DB">
        <w:rPr>
          <w:rFonts w:ascii="PT Serif" w:hAnsi="PT Serif" w:cs="Times New Roman"/>
          <w:sz w:val="24"/>
          <w:szCs w:val="24"/>
        </w:rPr>
        <w:t xml:space="preserve"> esto </w:t>
      </w:r>
      <w:r w:rsidR="00DC04FC" w:rsidRPr="000430DB">
        <w:rPr>
          <w:rFonts w:ascii="PT Serif" w:hAnsi="PT Serif" w:cs="Times New Roman"/>
          <w:sz w:val="24"/>
          <w:szCs w:val="24"/>
        </w:rPr>
        <w:t xml:space="preserve">una vulneración de derechos humanos. </w:t>
      </w:r>
      <w:r w:rsidR="00406AA5" w:rsidRPr="000430DB">
        <w:rPr>
          <w:rFonts w:ascii="PT Serif" w:hAnsi="PT Serif" w:cs="Times New Roman"/>
          <w:sz w:val="24"/>
          <w:szCs w:val="24"/>
        </w:rPr>
        <w:t xml:space="preserve">La jurisprudencia de la CoIDH, pese a constituir un incipiente esfuerzo de lograr cambiar los problemas que aquejan a las sociedades, “se ven obstaculizados por gobiernos prepotentes o por los intereses de los países potencia” (Ramírez, 2015, p. 69). </w:t>
      </w:r>
    </w:p>
    <w:p w14:paraId="75F79AB5" w14:textId="0D02847D" w:rsidR="00F417BE" w:rsidRPr="000430DB" w:rsidRDefault="005F0CF5" w:rsidP="00074E2D">
      <w:pPr>
        <w:spacing w:line="360" w:lineRule="auto"/>
        <w:ind w:firstLine="720"/>
        <w:jc w:val="both"/>
        <w:rPr>
          <w:rFonts w:ascii="PT Serif" w:hAnsi="PT Serif" w:cs="Times New Roman"/>
          <w:sz w:val="24"/>
          <w:szCs w:val="24"/>
        </w:rPr>
      </w:pPr>
      <w:r>
        <w:rPr>
          <w:rFonts w:ascii="PT Serif" w:hAnsi="PT Serif" w:cs="Times New Roman"/>
          <w:sz w:val="24"/>
          <w:szCs w:val="24"/>
        </w:rPr>
        <w:t xml:space="preserve">En atención a este panorama, pasemos a revisar algunas alternativas que pudieran solventar la problemática marcada, fomentado una reconciliación entre los Estados y la CoIDH en el apartado de responsabilidad internacional. </w:t>
      </w:r>
    </w:p>
    <w:p w14:paraId="6EC0F918" w14:textId="3BAB6B46" w:rsidR="008921CD" w:rsidRPr="000430DB" w:rsidRDefault="00FD3242" w:rsidP="008921CD">
      <w:pPr>
        <w:pStyle w:val="Prrafodelista"/>
        <w:numPr>
          <w:ilvl w:val="0"/>
          <w:numId w:val="2"/>
        </w:numPr>
        <w:spacing w:line="360" w:lineRule="auto"/>
        <w:jc w:val="both"/>
        <w:rPr>
          <w:rFonts w:ascii="PT Serif" w:hAnsi="PT Serif" w:cs="Times New Roman"/>
          <w:b/>
          <w:bCs/>
          <w:i/>
          <w:iCs/>
          <w:smallCaps/>
          <w:sz w:val="24"/>
          <w:szCs w:val="24"/>
        </w:rPr>
      </w:pPr>
      <w:r w:rsidRPr="000430DB">
        <w:rPr>
          <w:rFonts w:ascii="PT Serif" w:hAnsi="PT Serif" w:cs="Times New Roman"/>
          <w:b/>
          <w:bCs/>
          <w:i/>
          <w:iCs/>
          <w:smallCaps/>
          <w:sz w:val="24"/>
          <w:szCs w:val="24"/>
        </w:rPr>
        <w:t>ALGUNAS</w:t>
      </w:r>
      <w:r w:rsidR="008921CD" w:rsidRPr="000430DB">
        <w:rPr>
          <w:rFonts w:ascii="PT Serif" w:hAnsi="PT Serif" w:cs="Times New Roman"/>
          <w:b/>
          <w:bCs/>
          <w:i/>
          <w:iCs/>
          <w:smallCaps/>
          <w:sz w:val="24"/>
          <w:szCs w:val="24"/>
        </w:rPr>
        <w:t xml:space="preserve"> PROPUESTA</w:t>
      </w:r>
      <w:r w:rsidRPr="000430DB">
        <w:rPr>
          <w:rFonts w:ascii="PT Serif" w:hAnsi="PT Serif" w:cs="Times New Roman"/>
          <w:b/>
          <w:bCs/>
          <w:i/>
          <w:iCs/>
          <w:smallCaps/>
          <w:sz w:val="24"/>
          <w:szCs w:val="24"/>
        </w:rPr>
        <w:t>S</w:t>
      </w:r>
      <w:r w:rsidR="008921CD" w:rsidRPr="000430DB">
        <w:rPr>
          <w:rFonts w:ascii="PT Serif" w:hAnsi="PT Serif" w:cs="Times New Roman"/>
          <w:b/>
          <w:bCs/>
          <w:i/>
          <w:iCs/>
          <w:smallCaps/>
          <w:sz w:val="24"/>
          <w:szCs w:val="24"/>
        </w:rPr>
        <w:t xml:space="preserve"> DE MEJORA </w:t>
      </w:r>
    </w:p>
    <w:p w14:paraId="05F644D1" w14:textId="130F8654" w:rsidR="005F0CF5" w:rsidRDefault="005F0CF5" w:rsidP="00F417BE">
      <w:pPr>
        <w:spacing w:line="360" w:lineRule="auto"/>
        <w:ind w:firstLine="720"/>
        <w:jc w:val="both"/>
        <w:rPr>
          <w:rFonts w:ascii="PT Serif" w:hAnsi="PT Serif" w:cs="Times New Roman"/>
          <w:sz w:val="24"/>
          <w:szCs w:val="24"/>
        </w:rPr>
      </w:pPr>
      <w:r w:rsidRPr="005F0CF5">
        <w:rPr>
          <w:rFonts w:ascii="PT Serif" w:hAnsi="PT Serif" w:cs="Times New Roman"/>
          <w:sz w:val="24"/>
          <w:szCs w:val="24"/>
        </w:rPr>
        <w:t xml:space="preserve">Por último, resulta imprescindible que una investigación sobre la ineficacia en el cumplimiento de sentencias de la </w:t>
      </w:r>
      <w:r>
        <w:rPr>
          <w:rFonts w:ascii="PT Serif" w:hAnsi="PT Serif" w:cs="Times New Roman"/>
          <w:sz w:val="24"/>
          <w:szCs w:val="24"/>
        </w:rPr>
        <w:t>CoIDH</w:t>
      </w:r>
      <w:r w:rsidRPr="005F0CF5">
        <w:rPr>
          <w:rFonts w:ascii="PT Serif" w:hAnsi="PT Serif" w:cs="Times New Roman"/>
          <w:sz w:val="24"/>
          <w:szCs w:val="24"/>
        </w:rPr>
        <w:t xml:space="preserve"> incluya </w:t>
      </w:r>
      <w:r>
        <w:rPr>
          <w:rFonts w:ascii="PT Serif" w:hAnsi="PT Serif" w:cs="Times New Roman"/>
          <w:sz w:val="24"/>
          <w:szCs w:val="24"/>
        </w:rPr>
        <w:t>propuestas</w:t>
      </w:r>
      <w:r w:rsidRPr="005F0CF5">
        <w:rPr>
          <w:rFonts w:ascii="PT Serif" w:hAnsi="PT Serif" w:cs="Times New Roman"/>
          <w:sz w:val="24"/>
          <w:szCs w:val="24"/>
        </w:rPr>
        <w:t xml:space="preserve"> que superen las omisiones sistemáticas y la falta de voluntad política. El análisis se enriquece al acompañarse de una reflexión propositiva que aborde las barreras estructurales que impiden la implementación efectiva de las decisiones del Tribunal. </w:t>
      </w:r>
    </w:p>
    <w:p w14:paraId="4A4CEF35" w14:textId="5053B679" w:rsidR="00C148C4" w:rsidRPr="000430DB" w:rsidRDefault="005F0CF5" w:rsidP="00074E2D">
      <w:pPr>
        <w:spacing w:line="360" w:lineRule="auto"/>
        <w:ind w:firstLine="720"/>
        <w:jc w:val="both"/>
        <w:rPr>
          <w:rFonts w:ascii="PT Serif" w:hAnsi="PT Serif" w:cs="Times New Roman"/>
          <w:sz w:val="24"/>
          <w:szCs w:val="24"/>
        </w:rPr>
      </w:pPr>
      <w:r w:rsidRPr="005F0CF5">
        <w:rPr>
          <w:rFonts w:ascii="PT Serif" w:hAnsi="PT Serif" w:cs="Times New Roman"/>
          <w:sz w:val="24"/>
          <w:szCs w:val="24"/>
        </w:rPr>
        <w:t>Por ello, en este apartado se presentan propuestas</w:t>
      </w:r>
      <w:r>
        <w:rPr>
          <w:rFonts w:ascii="PT Serif" w:hAnsi="PT Serif" w:cs="Times New Roman"/>
          <w:sz w:val="24"/>
          <w:szCs w:val="24"/>
        </w:rPr>
        <w:t xml:space="preserve"> </w:t>
      </w:r>
      <w:r w:rsidRPr="005F0CF5">
        <w:rPr>
          <w:rFonts w:ascii="PT Serif" w:hAnsi="PT Serif" w:cs="Times New Roman"/>
          <w:sz w:val="24"/>
          <w:szCs w:val="24"/>
        </w:rPr>
        <w:t>que buscan crear un escenario en el que la reparación de las víctimas no dependa únicamente de la intervención internacional, sino también de una transformación interna respaldada por el compromiso estatal con los derechos humanos</w:t>
      </w:r>
      <w:r w:rsidR="008921CD" w:rsidRPr="000430DB">
        <w:rPr>
          <w:rFonts w:ascii="PT Serif" w:hAnsi="PT Serif" w:cs="Times New Roman"/>
          <w:sz w:val="24"/>
          <w:szCs w:val="24"/>
        </w:rPr>
        <w:t xml:space="preserve">. </w:t>
      </w:r>
    </w:p>
    <w:p w14:paraId="4828DE24" w14:textId="4AFD1C62" w:rsidR="00BB22D4" w:rsidRPr="000430DB" w:rsidRDefault="00BB22D4" w:rsidP="00BB22D4">
      <w:pPr>
        <w:pStyle w:val="Prrafodelista"/>
        <w:numPr>
          <w:ilvl w:val="0"/>
          <w:numId w:val="23"/>
        </w:numPr>
        <w:spacing w:line="360" w:lineRule="auto"/>
        <w:jc w:val="both"/>
        <w:rPr>
          <w:rFonts w:ascii="PT Serif" w:hAnsi="PT Serif" w:cs="Times New Roman"/>
          <w:i/>
          <w:iCs/>
          <w:sz w:val="24"/>
          <w:szCs w:val="24"/>
        </w:rPr>
      </w:pPr>
      <w:r w:rsidRPr="000430DB">
        <w:rPr>
          <w:rFonts w:ascii="PT Serif" w:hAnsi="PT Serif" w:cs="Times New Roman"/>
          <w:i/>
          <w:iCs/>
          <w:sz w:val="24"/>
          <w:szCs w:val="24"/>
        </w:rPr>
        <w:t xml:space="preserve">MULTA POR DÍA DE </w:t>
      </w:r>
      <w:r w:rsidR="00B41F8E">
        <w:rPr>
          <w:rFonts w:ascii="PT Serif" w:hAnsi="PT Serif" w:cs="Times New Roman"/>
          <w:i/>
          <w:iCs/>
          <w:sz w:val="24"/>
          <w:szCs w:val="24"/>
        </w:rPr>
        <w:t>INCUMPLIMIENTO</w:t>
      </w:r>
    </w:p>
    <w:p w14:paraId="7D1662FD" w14:textId="53D29CED" w:rsidR="006A1509" w:rsidRPr="000430DB" w:rsidRDefault="006A1509"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Cuando el cumplimiento de las sentencias de la CoIDH enfrenta obstáculos, el derecho comparado puede ofrecer soluciones valiosas. Un análisis contrastivo con otros tribunales de naturaleza similar, pero con mayor eficacia en la ejecución de sus resoluciones, como el Tribunal de Justicia de la Unión Europea (TJUE), </w:t>
      </w:r>
      <w:r w:rsidR="00E612C8" w:rsidRPr="000430DB">
        <w:rPr>
          <w:rFonts w:ascii="PT Serif" w:hAnsi="PT Serif" w:cs="Times New Roman"/>
          <w:sz w:val="24"/>
          <w:szCs w:val="24"/>
        </w:rPr>
        <w:t>permitiría</w:t>
      </w:r>
      <w:r w:rsidRPr="000430DB">
        <w:rPr>
          <w:rFonts w:ascii="PT Serif" w:hAnsi="PT Serif" w:cs="Times New Roman"/>
          <w:sz w:val="24"/>
          <w:szCs w:val="24"/>
        </w:rPr>
        <w:t xml:space="preserve"> </w:t>
      </w:r>
      <w:r w:rsidRPr="000430DB">
        <w:rPr>
          <w:rFonts w:ascii="PT Serif" w:hAnsi="PT Serif" w:cs="Times New Roman"/>
          <w:sz w:val="24"/>
          <w:szCs w:val="24"/>
        </w:rPr>
        <w:lastRenderedPageBreak/>
        <w:t>identificar mecanismos que podrían fortalecer la efectividad del Sistema Interamericano de Derechos Humanos.</w:t>
      </w:r>
    </w:p>
    <w:p w14:paraId="656FF62E" w14:textId="2B47D07F" w:rsidR="000063B3" w:rsidRPr="000430DB" w:rsidRDefault="000063B3"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Si bien el TJUE no se encuentra integrado en la clasificación de las cortes regionales de derechos humanos, resulta plausible su atracción al tema ya que al final emprende funciones similares a la CoIDH y alguna </w:t>
      </w:r>
      <w:r w:rsidR="00B744DB" w:rsidRPr="000430DB">
        <w:rPr>
          <w:rFonts w:ascii="PT Serif" w:hAnsi="PT Serif" w:cs="Times New Roman"/>
          <w:sz w:val="24"/>
          <w:szCs w:val="24"/>
        </w:rPr>
        <w:t>de éstas</w:t>
      </w:r>
      <w:r w:rsidRPr="000430DB">
        <w:rPr>
          <w:rFonts w:ascii="PT Serif" w:hAnsi="PT Serif" w:cs="Times New Roman"/>
          <w:sz w:val="24"/>
          <w:szCs w:val="24"/>
        </w:rPr>
        <w:t xml:space="preserve"> </w:t>
      </w:r>
      <w:r w:rsidR="00B744DB" w:rsidRPr="000430DB">
        <w:rPr>
          <w:rFonts w:ascii="PT Serif" w:hAnsi="PT Serif" w:cs="Times New Roman"/>
          <w:sz w:val="24"/>
          <w:szCs w:val="24"/>
        </w:rPr>
        <w:t>llega a ser</w:t>
      </w:r>
      <w:r w:rsidRPr="000430DB">
        <w:rPr>
          <w:rFonts w:ascii="PT Serif" w:hAnsi="PT Serif" w:cs="Times New Roman"/>
          <w:sz w:val="24"/>
          <w:szCs w:val="24"/>
        </w:rPr>
        <w:t xml:space="preserve"> relevante </w:t>
      </w:r>
      <w:r w:rsidR="00B744DB" w:rsidRPr="000430DB">
        <w:rPr>
          <w:rFonts w:ascii="PT Serif" w:hAnsi="PT Serif" w:cs="Times New Roman"/>
          <w:sz w:val="24"/>
          <w:szCs w:val="24"/>
        </w:rPr>
        <w:t>de tratarla</w:t>
      </w:r>
      <w:r w:rsidRPr="000430DB">
        <w:rPr>
          <w:rFonts w:ascii="PT Serif" w:hAnsi="PT Serif" w:cs="Times New Roman"/>
          <w:sz w:val="24"/>
          <w:szCs w:val="24"/>
        </w:rPr>
        <w:t xml:space="preserve"> pues comprendería una alternativa</w:t>
      </w:r>
      <w:r w:rsidR="00B744DB" w:rsidRPr="000430DB">
        <w:rPr>
          <w:rFonts w:ascii="PT Serif" w:hAnsi="PT Serif" w:cs="Times New Roman"/>
          <w:sz w:val="24"/>
          <w:szCs w:val="24"/>
        </w:rPr>
        <w:t xml:space="preserve"> no prevista en la normatividad aplicable a</w:t>
      </w:r>
      <w:r w:rsidRPr="000430DB">
        <w:rPr>
          <w:rFonts w:ascii="PT Serif" w:hAnsi="PT Serif" w:cs="Times New Roman"/>
          <w:sz w:val="24"/>
          <w:szCs w:val="24"/>
        </w:rPr>
        <w:t>l Tribunal Interamericano</w:t>
      </w:r>
      <w:r w:rsidR="00B744DB" w:rsidRPr="000430DB">
        <w:rPr>
          <w:rFonts w:ascii="PT Serif" w:hAnsi="PT Serif" w:cs="Times New Roman"/>
          <w:sz w:val="24"/>
          <w:szCs w:val="24"/>
        </w:rPr>
        <w:t xml:space="preserve"> que pudiera solventar sus dificultades. </w:t>
      </w:r>
    </w:p>
    <w:p w14:paraId="3284E64F" w14:textId="2E7C79EC" w:rsidR="00B744DB" w:rsidRPr="000430DB" w:rsidRDefault="00B744DB"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En el </w:t>
      </w:r>
      <w:r w:rsidR="008F4136">
        <w:rPr>
          <w:rFonts w:ascii="PT Serif" w:hAnsi="PT Serif" w:cs="Times New Roman"/>
          <w:sz w:val="24"/>
          <w:szCs w:val="24"/>
        </w:rPr>
        <w:t xml:space="preserve">artículo </w:t>
      </w:r>
      <w:r w:rsidR="00FD3242" w:rsidRPr="000430DB">
        <w:rPr>
          <w:rFonts w:ascii="PT Serif" w:hAnsi="PT Serif" w:cs="Times New Roman"/>
          <w:sz w:val="24"/>
          <w:szCs w:val="24"/>
        </w:rPr>
        <w:t>171</w:t>
      </w:r>
      <w:r w:rsidRPr="000430DB">
        <w:rPr>
          <w:rFonts w:ascii="PT Serif" w:hAnsi="PT Serif" w:cs="Times New Roman"/>
          <w:sz w:val="24"/>
          <w:szCs w:val="24"/>
        </w:rPr>
        <w:t xml:space="preserve"> de</w:t>
      </w:r>
      <w:r w:rsidR="00FD3242" w:rsidRPr="000430DB">
        <w:rPr>
          <w:rFonts w:ascii="PT Serif" w:hAnsi="PT Serif" w:cs="Times New Roman"/>
          <w:sz w:val="24"/>
          <w:szCs w:val="24"/>
        </w:rPr>
        <w:t xml:space="preserve">l Tratado de la Unión Europea </w:t>
      </w:r>
      <w:r w:rsidRPr="000430DB">
        <w:rPr>
          <w:rFonts w:ascii="PT Serif" w:hAnsi="PT Serif" w:cs="Times New Roman"/>
          <w:sz w:val="24"/>
          <w:szCs w:val="24"/>
        </w:rPr>
        <w:t xml:space="preserve">se faculta al TJUE para imponer multas cuantiosas que pueden alcanzar cifras de cientos de miles de euros por día ante el persistente incumplimiento de las medidas adoptadas en sus sentencias. Esto, a opinión de distintos autores tal como lo es McCourt y Pardavi (2021) otorga “más fuerza que muchos otros tribunales regionales que dependen de una autoridad sancionadora más limitada, de la buena voluntad y de la presión diplomática para garantizar el cumplimiento de las sentencias” (p. 74). </w:t>
      </w:r>
    </w:p>
    <w:p w14:paraId="4F33035F" w14:textId="168CA230" w:rsidR="00B744DB" w:rsidRPr="000430DB" w:rsidRDefault="00B744DB"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 xml:space="preserve">Contemplar estas facultades dentro del sistema interamericano, </w:t>
      </w:r>
      <w:r w:rsidR="00BB22D4" w:rsidRPr="000430DB">
        <w:rPr>
          <w:rFonts w:ascii="PT Serif" w:hAnsi="PT Serif" w:cs="Times New Roman"/>
          <w:sz w:val="24"/>
          <w:szCs w:val="24"/>
        </w:rPr>
        <w:t>podría</w:t>
      </w:r>
      <w:r w:rsidRPr="000430DB">
        <w:rPr>
          <w:rFonts w:ascii="PT Serif" w:hAnsi="PT Serif" w:cs="Times New Roman"/>
          <w:sz w:val="24"/>
          <w:szCs w:val="24"/>
        </w:rPr>
        <w:t xml:space="preserve"> aumentar </w:t>
      </w:r>
      <w:r w:rsidR="00BB22D4" w:rsidRPr="000430DB">
        <w:rPr>
          <w:rFonts w:ascii="PT Serif" w:hAnsi="PT Serif" w:cs="Times New Roman"/>
          <w:sz w:val="24"/>
          <w:szCs w:val="24"/>
        </w:rPr>
        <w:t xml:space="preserve">el interés de los Estados a atender las dictaminaciones emitidas por la CoIDH, ya que es bien sabido que uno de los aspectos que llegan a causar más desasosiego a las entidades estatales es el monetario. </w:t>
      </w:r>
    </w:p>
    <w:p w14:paraId="6CA1C25A" w14:textId="34A1740C" w:rsidR="00F417BE" w:rsidRPr="000430DB" w:rsidRDefault="006C513A" w:rsidP="00074E2D">
      <w:pPr>
        <w:spacing w:line="360" w:lineRule="auto"/>
        <w:ind w:firstLine="720"/>
        <w:jc w:val="both"/>
        <w:rPr>
          <w:rFonts w:ascii="PT Serif" w:hAnsi="PT Serif" w:cs="Times New Roman"/>
          <w:sz w:val="24"/>
          <w:szCs w:val="24"/>
        </w:rPr>
      </w:pPr>
      <w:r w:rsidRPr="000430DB">
        <w:rPr>
          <w:rFonts w:ascii="PT Serif" w:hAnsi="PT Serif" w:cs="Times New Roman"/>
          <w:sz w:val="24"/>
          <w:szCs w:val="24"/>
        </w:rPr>
        <w:t>Esta</w:t>
      </w:r>
      <w:r w:rsidR="00BB22D4" w:rsidRPr="000430DB">
        <w:rPr>
          <w:rFonts w:ascii="PT Serif" w:hAnsi="PT Serif" w:cs="Times New Roman"/>
          <w:sz w:val="24"/>
          <w:szCs w:val="24"/>
        </w:rPr>
        <w:t xml:space="preserve"> determinación habría de adecuarse en forma </w:t>
      </w:r>
      <w:r w:rsidR="00BD1785" w:rsidRPr="000430DB">
        <w:rPr>
          <w:rFonts w:ascii="PT Serif" w:hAnsi="PT Serif" w:cs="Times New Roman"/>
          <w:sz w:val="24"/>
          <w:szCs w:val="24"/>
        </w:rPr>
        <w:t>racional</w:t>
      </w:r>
      <w:r w:rsidR="00BB22D4" w:rsidRPr="000430DB">
        <w:rPr>
          <w:rFonts w:ascii="PT Serif" w:hAnsi="PT Serif" w:cs="Times New Roman"/>
          <w:sz w:val="24"/>
          <w:szCs w:val="24"/>
        </w:rPr>
        <w:t xml:space="preserve"> a l</w:t>
      </w:r>
      <w:r w:rsidR="00BD1785" w:rsidRPr="000430DB">
        <w:rPr>
          <w:rFonts w:ascii="PT Serif" w:hAnsi="PT Serif" w:cs="Times New Roman"/>
          <w:sz w:val="24"/>
          <w:szCs w:val="24"/>
        </w:rPr>
        <w:t>a</w:t>
      </w:r>
      <w:r w:rsidR="00BB22D4" w:rsidRPr="000430DB">
        <w:rPr>
          <w:rFonts w:ascii="PT Serif" w:hAnsi="PT Serif" w:cs="Times New Roman"/>
          <w:sz w:val="24"/>
          <w:szCs w:val="24"/>
        </w:rPr>
        <w:t>s medidas reparatorias dictadas</w:t>
      </w:r>
      <w:r w:rsidR="00BD1785" w:rsidRPr="000430DB">
        <w:rPr>
          <w:rFonts w:ascii="PT Serif" w:hAnsi="PT Serif" w:cs="Times New Roman"/>
          <w:sz w:val="24"/>
          <w:szCs w:val="24"/>
        </w:rPr>
        <w:t xml:space="preserve"> </w:t>
      </w:r>
      <w:r w:rsidRPr="000430DB">
        <w:rPr>
          <w:rFonts w:ascii="PT Serif" w:hAnsi="PT Serif" w:cs="Times New Roman"/>
          <w:sz w:val="24"/>
          <w:szCs w:val="24"/>
        </w:rPr>
        <w:t>clasificándose</w:t>
      </w:r>
      <w:r w:rsidR="00BB22D4" w:rsidRPr="000430DB">
        <w:rPr>
          <w:rFonts w:ascii="PT Serif" w:hAnsi="PT Serif" w:cs="Times New Roman"/>
          <w:sz w:val="24"/>
          <w:szCs w:val="24"/>
        </w:rPr>
        <w:t xml:space="preserve"> en dos rubros: 1. Aquellas de inmediato cumplimiento y 2. Aquellas de cumplimiento razonable. Las primeras </w:t>
      </w:r>
      <w:r w:rsidR="008F4136">
        <w:rPr>
          <w:rFonts w:ascii="PT Serif" w:hAnsi="PT Serif" w:cs="Times New Roman"/>
          <w:sz w:val="24"/>
          <w:szCs w:val="24"/>
        </w:rPr>
        <w:t>comprenderían</w:t>
      </w:r>
      <w:r w:rsidR="00BB22D4" w:rsidRPr="000430DB">
        <w:rPr>
          <w:rFonts w:ascii="PT Serif" w:hAnsi="PT Serif" w:cs="Times New Roman"/>
          <w:sz w:val="24"/>
          <w:szCs w:val="24"/>
        </w:rPr>
        <w:t xml:space="preserve"> actuaciones que el Estado fácilmente pudiera satisfacer como lo son la publicación de la sentencia, brindar apoyo médico a las víctimas, entre otros. Las segundas serían las que, derivado a su naturaleza, sería desaforado exigir el cumplimiento en poco tiempo tales como la búsqueda de los responsables o de los desaparecidos. Por lo que, la </w:t>
      </w:r>
      <w:r w:rsidR="00BB22D4" w:rsidRPr="000430DB">
        <w:rPr>
          <w:rFonts w:ascii="PT Serif" w:hAnsi="PT Serif" w:cs="Times New Roman"/>
          <w:sz w:val="24"/>
          <w:szCs w:val="24"/>
        </w:rPr>
        <w:lastRenderedPageBreak/>
        <w:t xml:space="preserve">aplicabilidad de la multa recaería en un aspecto razonable de cumplir. Siguiendo el ejemplo de la búsqueda de los involucrados, soslayaría la presentación de informes e investigaciones acerca de los hechos, fijándose parámetros que deberían de satisfacer cada documento para tenerse por </w:t>
      </w:r>
      <w:r w:rsidR="00E179E7">
        <w:rPr>
          <w:rFonts w:ascii="PT Serif" w:hAnsi="PT Serif" w:cs="Times New Roman"/>
          <w:sz w:val="24"/>
          <w:szCs w:val="24"/>
        </w:rPr>
        <w:t>cumplida</w:t>
      </w:r>
      <w:r w:rsidR="00BB22D4" w:rsidRPr="000430DB">
        <w:rPr>
          <w:rFonts w:ascii="PT Serif" w:hAnsi="PT Serif" w:cs="Times New Roman"/>
          <w:sz w:val="24"/>
          <w:szCs w:val="24"/>
        </w:rPr>
        <w:t xml:space="preserve"> la labor encomendada</w:t>
      </w:r>
      <w:r w:rsidR="00BD1785" w:rsidRPr="000430DB">
        <w:rPr>
          <w:rFonts w:ascii="PT Serif" w:hAnsi="PT Serif" w:cs="Times New Roman"/>
          <w:sz w:val="24"/>
          <w:szCs w:val="24"/>
        </w:rPr>
        <w:t xml:space="preserve"> y no ser acreedor a la sanción. </w:t>
      </w:r>
    </w:p>
    <w:p w14:paraId="7BB4A368" w14:textId="7AB96FDE" w:rsidR="00FA1A3C" w:rsidRPr="000430DB" w:rsidRDefault="00FA1A3C" w:rsidP="00FA1A3C">
      <w:pPr>
        <w:pStyle w:val="Prrafodelista"/>
        <w:numPr>
          <w:ilvl w:val="0"/>
          <w:numId w:val="23"/>
        </w:numPr>
        <w:spacing w:line="360" w:lineRule="auto"/>
        <w:jc w:val="both"/>
        <w:rPr>
          <w:rFonts w:ascii="PT Serif" w:hAnsi="PT Serif" w:cs="Times New Roman"/>
          <w:i/>
          <w:iCs/>
          <w:sz w:val="24"/>
          <w:szCs w:val="24"/>
        </w:rPr>
      </w:pPr>
      <w:r w:rsidRPr="000430DB">
        <w:rPr>
          <w:rFonts w:ascii="PT Serif" w:hAnsi="PT Serif" w:cs="Times New Roman"/>
          <w:i/>
          <w:iCs/>
          <w:sz w:val="24"/>
          <w:szCs w:val="24"/>
        </w:rPr>
        <w:t>ASOCIACIONES CIVILES</w:t>
      </w:r>
      <w:r w:rsidR="006F0758">
        <w:rPr>
          <w:rFonts w:ascii="PT Serif" w:hAnsi="PT Serif" w:cs="Times New Roman"/>
          <w:i/>
          <w:iCs/>
          <w:sz w:val="24"/>
          <w:szCs w:val="24"/>
        </w:rPr>
        <w:t>/GRUPOS DE TRABAJO</w:t>
      </w:r>
    </w:p>
    <w:p w14:paraId="1DE8B553" w14:textId="05FB9FDA" w:rsidR="00FA1A3C" w:rsidRPr="000430DB" w:rsidRDefault="005B364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Las asociaciones civiles en Perú</w:t>
      </w:r>
      <w:r w:rsidR="00BF5FEB">
        <w:rPr>
          <w:rFonts w:ascii="PT Serif" w:hAnsi="PT Serif" w:cs="Times New Roman"/>
          <w:sz w:val="24"/>
          <w:szCs w:val="24"/>
        </w:rPr>
        <w:t xml:space="preserve"> y México</w:t>
      </w:r>
      <w:r w:rsidRPr="000430DB">
        <w:rPr>
          <w:rFonts w:ascii="PT Serif" w:hAnsi="PT Serif" w:cs="Times New Roman"/>
          <w:sz w:val="24"/>
          <w:szCs w:val="24"/>
        </w:rPr>
        <w:t xml:space="preserve"> desempeñan un papel crucial en la lucha contra la desaparición forzada</w:t>
      </w:r>
      <w:r w:rsidR="001E15B9">
        <w:rPr>
          <w:rFonts w:ascii="PT Serif" w:hAnsi="PT Serif" w:cs="Times New Roman"/>
          <w:sz w:val="24"/>
          <w:szCs w:val="24"/>
        </w:rPr>
        <w:t xml:space="preserve">. Estas organizaciones </w:t>
      </w:r>
      <w:r w:rsidRPr="000430DB">
        <w:rPr>
          <w:rFonts w:ascii="PT Serif" w:hAnsi="PT Serif" w:cs="Times New Roman"/>
          <w:sz w:val="24"/>
          <w:szCs w:val="24"/>
        </w:rPr>
        <w:t>han contribuido materialmente a la localización de fosas clandestinas y han mejorado las actuaciones estatales a través de la presión ejercida sobre las autoridades</w:t>
      </w:r>
      <w:r w:rsidR="001E15B9">
        <w:rPr>
          <w:rStyle w:val="Refdenotaalpie"/>
          <w:rFonts w:ascii="PT Serif" w:hAnsi="PT Serif" w:cs="Times New Roman"/>
          <w:sz w:val="24"/>
          <w:szCs w:val="24"/>
        </w:rPr>
        <w:footnoteReference w:id="20"/>
      </w:r>
      <w:r w:rsidR="000D5B43" w:rsidRPr="000430DB">
        <w:rPr>
          <w:rFonts w:ascii="PT Serif" w:hAnsi="PT Serif" w:cs="Times New Roman"/>
          <w:sz w:val="24"/>
          <w:szCs w:val="24"/>
        </w:rPr>
        <w:t xml:space="preserve">. </w:t>
      </w:r>
    </w:p>
    <w:p w14:paraId="6F71CEBC" w14:textId="7968571C" w:rsidR="000D5B43" w:rsidRPr="000430DB" w:rsidRDefault="005B364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Sin embargo, a pesar de su valiosa labor, estos grupos enfrentan un entorno adverso marcado por amenazas, persecuciones e incluso intentos de homicidio</w:t>
      </w:r>
      <w:r w:rsidR="000D5B43" w:rsidRPr="000430DB">
        <w:rPr>
          <w:rFonts w:ascii="PT Serif" w:hAnsi="PT Serif" w:cs="Times New Roman"/>
          <w:sz w:val="24"/>
          <w:szCs w:val="24"/>
        </w:rPr>
        <w:t>.</w:t>
      </w:r>
      <w:r w:rsidR="00BE4E26">
        <w:rPr>
          <w:rFonts w:ascii="PT Serif" w:hAnsi="PT Serif" w:cs="Times New Roman"/>
          <w:sz w:val="24"/>
          <w:szCs w:val="24"/>
        </w:rPr>
        <w:t xml:space="preserve"> </w:t>
      </w:r>
      <w:r w:rsidR="000D5B43" w:rsidRPr="000430DB">
        <w:rPr>
          <w:rFonts w:ascii="PT Serif" w:hAnsi="PT Serif" w:cs="Times New Roman"/>
          <w:sz w:val="24"/>
          <w:szCs w:val="24"/>
        </w:rPr>
        <w:t xml:space="preserve">A esto se agrega otro problema el cual se configura en la falta de recursos económicos para el cumplimiento de sus fines. </w:t>
      </w:r>
    </w:p>
    <w:p w14:paraId="3271D4B0" w14:textId="488C00D6" w:rsidR="000D5B43" w:rsidRDefault="005B3646" w:rsidP="00887B51">
      <w:pPr>
        <w:spacing w:line="360" w:lineRule="auto"/>
        <w:ind w:firstLine="720"/>
        <w:jc w:val="both"/>
        <w:rPr>
          <w:rFonts w:ascii="PT Serif" w:hAnsi="PT Serif" w:cs="Times New Roman"/>
          <w:sz w:val="24"/>
          <w:szCs w:val="24"/>
        </w:rPr>
      </w:pPr>
      <w:r w:rsidRPr="000430DB">
        <w:rPr>
          <w:rFonts w:ascii="PT Serif" w:hAnsi="PT Serif" w:cs="Times New Roman"/>
          <w:sz w:val="24"/>
          <w:szCs w:val="24"/>
        </w:rPr>
        <w:t>Por ello, l</w:t>
      </w:r>
      <w:r w:rsidR="000D5B43" w:rsidRPr="000430DB">
        <w:rPr>
          <w:rFonts w:ascii="PT Serif" w:hAnsi="PT Serif" w:cs="Times New Roman"/>
          <w:sz w:val="24"/>
          <w:szCs w:val="24"/>
        </w:rPr>
        <w:t xml:space="preserve">os Estados habrían de implementar programas económicos o subsidios </w:t>
      </w:r>
      <w:r w:rsidR="008B1B30" w:rsidRPr="000430DB">
        <w:rPr>
          <w:rFonts w:ascii="PT Serif" w:hAnsi="PT Serif" w:cs="Times New Roman"/>
          <w:sz w:val="24"/>
          <w:szCs w:val="24"/>
        </w:rPr>
        <w:t>en favor de estos organismos para fortalecer sus regímenes y actividades</w:t>
      </w:r>
      <w:r w:rsidR="008B1B30" w:rsidRPr="000430DB">
        <w:rPr>
          <w:rStyle w:val="Refdenotaalpie"/>
          <w:rFonts w:ascii="PT Serif" w:hAnsi="PT Serif" w:cs="Times New Roman"/>
          <w:sz w:val="24"/>
          <w:szCs w:val="24"/>
        </w:rPr>
        <w:footnoteReference w:id="21"/>
      </w:r>
      <w:r w:rsidR="008B1B30" w:rsidRPr="000430DB">
        <w:rPr>
          <w:rFonts w:ascii="PT Serif" w:hAnsi="PT Serif" w:cs="Times New Roman"/>
          <w:sz w:val="24"/>
          <w:szCs w:val="24"/>
        </w:rPr>
        <w:t xml:space="preserve">. Asimismo, cabría implementarse reformas a las leyes administrativas correspondientes </w:t>
      </w:r>
      <w:r w:rsidR="008F4136">
        <w:rPr>
          <w:rFonts w:ascii="PT Serif" w:hAnsi="PT Serif" w:cs="Times New Roman"/>
          <w:sz w:val="24"/>
          <w:szCs w:val="24"/>
        </w:rPr>
        <w:t>para</w:t>
      </w:r>
      <w:r w:rsidR="006C513A" w:rsidRPr="000430DB">
        <w:rPr>
          <w:rFonts w:ascii="PT Serif" w:hAnsi="PT Serif" w:cs="Times New Roman"/>
          <w:sz w:val="24"/>
          <w:szCs w:val="24"/>
        </w:rPr>
        <w:t xml:space="preserve"> </w:t>
      </w:r>
      <w:r w:rsidR="008B1B30" w:rsidRPr="000430DB">
        <w:rPr>
          <w:rFonts w:ascii="PT Serif" w:hAnsi="PT Serif" w:cs="Times New Roman"/>
          <w:sz w:val="24"/>
          <w:szCs w:val="24"/>
        </w:rPr>
        <w:t xml:space="preserve">que creasen </w:t>
      </w:r>
      <w:r w:rsidR="006C513A" w:rsidRPr="000430DB">
        <w:rPr>
          <w:rFonts w:ascii="PT Serif" w:hAnsi="PT Serif" w:cs="Times New Roman"/>
          <w:sz w:val="24"/>
          <w:szCs w:val="24"/>
        </w:rPr>
        <w:t>algún organismo</w:t>
      </w:r>
      <w:r w:rsidR="008B1B30" w:rsidRPr="000430DB">
        <w:rPr>
          <w:rFonts w:ascii="PT Serif" w:hAnsi="PT Serif" w:cs="Times New Roman"/>
          <w:sz w:val="24"/>
          <w:szCs w:val="24"/>
        </w:rPr>
        <w:t xml:space="preserve"> </w:t>
      </w:r>
      <w:r w:rsidR="006C513A" w:rsidRPr="000430DB">
        <w:rPr>
          <w:rFonts w:ascii="PT Serif" w:hAnsi="PT Serif" w:cs="Times New Roman"/>
          <w:sz w:val="24"/>
          <w:szCs w:val="24"/>
        </w:rPr>
        <w:t>administrativo</w:t>
      </w:r>
      <w:r w:rsidR="008B1B30" w:rsidRPr="000430DB">
        <w:rPr>
          <w:rFonts w:ascii="PT Serif" w:hAnsi="PT Serif" w:cs="Times New Roman"/>
          <w:sz w:val="24"/>
          <w:szCs w:val="24"/>
        </w:rPr>
        <w:t xml:space="preserve"> </w:t>
      </w:r>
      <w:r w:rsidR="0041406C">
        <w:rPr>
          <w:rFonts w:ascii="PT Serif" w:hAnsi="PT Serif" w:cs="Times New Roman"/>
          <w:sz w:val="24"/>
          <w:szCs w:val="24"/>
        </w:rPr>
        <w:t>(ya sea centralizado o descentralizado)</w:t>
      </w:r>
      <w:r w:rsidR="008B1B30" w:rsidRPr="000430DB">
        <w:rPr>
          <w:rFonts w:ascii="PT Serif" w:hAnsi="PT Serif" w:cs="Times New Roman"/>
          <w:sz w:val="24"/>
          <w:szCs w:val="24"/>
        </w:rPr>
        <w:t xml:space="preserve"> </w:t>
      </w:r>
      <w:r w:rsidR="006C513A" w:rsidRPr="000430DB">
        <w:rPr>
          <w:rFonts w:ascii="PT Serif" w:hAnsi="PT Serif" w:cs="Times New Roman"/>
          <w:sz w:val="24"/>
          <w:szCs w:val="24"/>
        </w:rPr>
        <w:t xml:space="preserve">o la modificación a uno previamente existente que </w:t>
      </w:r>
      <w:r w:rsidR="006C513A" w:rsidRPr="000430DB">
        <w:rPr>
          <w:rFonts w:ascii="PT Serif" w:hAnsi="PT Serif" w:cs="Times New Roman"/>
          <w:sz w:val="24"/>
          <w:szCs w:val="24"/>
        </w:rPr>
        <w:lastRenderedPageBreak/>
        <w:t>tuviera relación con la</w:t>
      </w:r>
      <w:r w:rsidR="008B1B30" w:rsidRPr="000430DB">
        <w:rPr>
          <w:rFonts w:ascii="PT Serif" w:hAnsi="PT Serif" w:cs="Times New Roman"/>
          <w:sz w:val="24"/>
          <w:szCs w:val="24"/>
        </w:rPr>
        <w:t xml:space="preserve"> desaparición forzada</w:t>
      </w:r>
      <w:r w:rsidR="006C513A" w:rsidRPr="000430DB">
        <w:rPr>
          <w:rFonts w:ascii="PT Serif" w:hAnsi="PT Serif" w:cs="Times New Roman"/>
          <w:sz w:val="24"/>
          <w:szCs w:val="24"/>
        </w:rPr>
        <w:t xml:space="preserve"> y </w:t>
      </w:r>
      <w:r w:rsidR="008B1B30" w:rsidRPr="000430DB">
        <w:rPr>
          <w:rFonts w:ascii="PT Serif" w:hAnsi="PT Serif" w:cs="Times New Roman"/>
          <w:sz w:val="24"/>
          <w:szCs w:val="24"/>
        </w:rPr>
        <w:t xml:space="preserve">que postulasen, a través de un convenio de colaboración con los organismos civiles, actividades enfocadas a la seguridad de los miembros de las asociaciones; un fortalecimiento a la capacidad operativa a través de capacitaciones y financiamientos; realización de campañas de sensibilización; y la elaboración de estrategias para el cumplimiento de las recomendaciones y sentencias internacionales. </w:t>
      </w:r>
    </w:p>
    <w:p w14:paraId="640E16F9" w14:textId="368C1719" w:rsidR="00C148C4" w:rsidRPr="000430DB" w:rsidRDefault="004735A3" w:rsidP="00074E2D">
      <w:pPr>
        <w:spacing w:line="360" w:lineRule="auto"/>
        <w:ind w:firstLine="720"/>
        <w:jc w:val="both"/>
        <w:rPr>
          <w:rFonts w:ascii="PT Serif" w:hAnsi="PT Serif" w:cs="Times New Roman"/>
          <w:sz w:val="24"/>
          <w:szCs w:val="24"/>
        </w:rPr>
      </w:pPr>
      <w:r>
        <w:rPr>
          <w:rFonts w:ascii="PT Serif" w:hAnsi="PT Serif" w:cs="Times New Roman"/>
          <w:sz w:val="24"/>
          <w:szCs w:val="24"/>
        </w:rPr>
        <w:t xml:space="preserve">Pudiera tomarse de ejemplo lo que sucede en el Estado de Colombia en donde el gobierno ha creado grupos de trabajo, bajo la dirección del Ministerio de Relaciones Exteriores, dedicados exclusivamente a dar seguimiento al cumplimiento de las ordenes contenidas en las sentencias emitidas por la CoIDH. Propiamente, es el Grupo Interno de Trabajo de Seguimiento a las Órdenes y Recomendaciones de Órganos Internacionales en Materia de Derechos Humanos el encargo de tales labores traducidas en el diseño de un programa de trabajo, remisión de oficios solicitando información, delegación del cumplimiento de las medidas a las entidades competentes y realización de reuniones de acompañamiento y concertación con los peticionarios y víctimas (Acosta y Espitia, 2020, p. 379).  </w:t>
      </w:r>
    </w:p>
    <w:p w14:paraId="0EFCB692" w14:textId="1A2B497F" w:rsidR="006C513A" w:rsidRPr="000430DB" w:rsidRDefault="00FF4C05" w:rsidP="006C513A">
      <w:pPr>
        <w:pStyle w:val="Prrafodelista"/>
        <w:numPr>
          <w:ilvl w:val="0"/>
          <w:numId w:val="23"/>
        </w:numPr>
        <w:spacing w:line="360" w:lineRule="auto"/>
        <w:jc w:val="both"/>
        <w:rPr>
          <w:rFonts w:ascii="PT Serif" w:hAnsi="PT Serif" w:cs="Times New Roman"/>
          <w:i/>
          <w:iCs/>
          <w:sz w:val="24"/>
          <w:szCs w:val="24"/>
        </w:rPr>
      </w:pPr>
      <w:r>
        <w:rPr>
          <w:rFonts w:ascii="PT Serif" w:hAnsi="PT Serif" w:cs="Times New Roman"/>
          <w:i/>
          <w:iCs/>
          <w:sz w:val="24"/>
          <w:szCs w:val="24"/>
        </w:rPr>
        <w:t xml:space="preserve">IMPLEMENTACIÓN DE UN CRITERIO </w:t>
      </w:r>
      <w:r w:rsidR="00B34D61">
        <w:rPr>
          <w:rFonts w:ascii="PT Serif" w:hAnsi="PT Serif" w:cs="Times New Roman"/>
          <w:i/>
          <w:iCs/>
          <w:sz w:val="24"/>
          <w:szCs w:val="24"/>
        </w:rPr>
        <w:t>ALINEADOR</w:t>
      </w:r>
      <w:r>
        <w:rPr>
          <w:rFonts w:ascii="PT Serif" w:hAnsi="PT Serif" w:cs="Times New Roman"/>
          <w:i/>
          <w:iCs/>
          <w:sz w:val="24"/>
          <w:szCs w:val="24"/>
        </w:rPr>
        <w:t xml:space="preserve">    </w:t>
      </w:r>
    </w:p>
    <w:p w14:paraId="32B7AC1F" w14:textId="1FA28274" w:rsidR="00FF4C05" w:rsidRPr="00FF4C05" w:rsidRDefault="00DC57B3" w:rsidP="00FF4C05">
      <w:pPr>
        <w:spacing w:line="360" w:lineRule="auto"/>
        <w:ind w:firstLine="720"/>
        <w:jc w:val="both"/>
        <w:rPr>
          <w:rFonts w:ascii="PT Serif" w:hAnsi="PT Serif" w:cs="Times New Roman"/>
          <w:sz w:val="24"/>
          <w:szCs w:val="24"/>
        </w:rPr>
      </w:pPr>
      <w:r>
        <w:rPr>
          <w:rFonts w:ascii="PT Serif" w:hAnsi="PT Serif" w:cs="Times New Roman"/>
          <w:sz w:val="24"/>
          <w:szCs w:val="24"/>
        </w:rPr>
        <w:t>Otra</w:t>
      </w:r>
      <w:r w:rsidR="00FF4C05" w:rsidRPr="00FF4C05">
        <w:rPr>
          <w:rFonts w:ascii="PT Serif" w:hAnsi="PT Serif" w:cs="Times New Roman"/>
          <w:sz w:val="24"/>
          <w:szCs w:val="24"/>
        </w:rPr>
        <w:t xml:space="preserve"> forma de abordar las causas del incumplimiento identificadas en las teorías mencionadas </w:t>
      </w:r>
      <w:r w:rsidR="00F417BE">
        <w:rPr>
          <w:rFonts w:ascii="PT Serif" w:hAnsi="PT Serif" w:cs="Times New Roman"/>
          <w:sz w:val="24"/>
          <w:szCs w:val="24"/>
        </w:rPr>
        <w:t>-</w:t>
      </w:r>
      <w:r w:rsidR="00FF4C05" w:rsidRPr="00FF4C05">
        <w:rPr>
          <w:rFonts w:ascii="PT Serif" w:hAnsi="PT Serif" w:cs="Times New Roman"/>
          <w:sz w:val="24"/>
          <w:szCs w:val="24"/>
        </w:rPr>
        <w:t>las cuales, como se ha expuesto, giran en torno a la reinterpretación de derechos y criterios, así como a la pérdida de legitimidad de la CoIDH, encontrando sustento en la noción de soberanía nacional</w:t>
      </w:r>
      <w:r w:rsidR="00F417BE">
        <w:rPr>
          <w:rFonts w:ascii="PT Serif" w:hAnsi="PT Serif" w:cs="Times New Roman"/>
          <w:sz w:val="24"/>
          <w:szCs w:val="24"/>
        </w:rPr>
        <w:t>-</w:t>
      </w:r>
      <w:r w:rsidR="00FF4C05" w:rsidRPr="00FF4C05">
        <w:rPr>
          <w:rFonts w:ascii="PT Serif" w:hAnsi="PT Serif" w:cs="Times New Roman"/>
          <w:sz w:val="24"/>
          <w:szCs w:val="24"/>
        </w:rPr>
        <w:t xml:space="preserve"> sería la implementación de un pronunciamiento jurisprudencial que adopte los razonamientos del Tribunal Supranacional en materia de desaparición forzada como una fuente de interpretación libre de restricciones arbitrarias. Dicho pronunciamiento debería declarar expresamente la inadmisibilidad de cualquier actuación estatal que </w:t>
      </w:r>
      <w:r w:rsidR="00FF4C05" w:rsidRPr="00FF4C05">
        <w:rPr>
          <w:rFonts w:ascii="PT Serif" w:hAnsi="PT Serif" w:cs="Times New Roman"/>
          <w:sz w:val="24"/>
          <w:szCs w:val="24"/>
        </w:rPr>
        <w:lastRenderedPageBreak/>
        <w:t>contravenga los criterios interamericanos bajo el argumento de que el Estado posee capacidad de autogobierno y la facultad de estructurar su régimen interno según su conveniencia (Barragán, 2013, p. 418).</w:t>
      </w:r>
    </w:p>
    <w:p w14:paraId="49F6606D" w14:textId="1C633ACF" w:rsidR="00FF4C05" w:rsidRPr="00FF4C05" w:rsidRDefault="00FF4C05" w:rsidP="00FF4C05">
      <w:pPr>
        <w:spacing w:line="360" w:lineRule="auto"/>
        <w:ind w:firstLine="720"/>
        <w:jc w:val="both"/>
        <w:rPr>
          <w:rFonts w:ascii="PT Serif" w:hAnsi="PT Serif" w:cs="Times New Roman"/>
          <w:sz w:val="24"/>
          <w:szCs w:val="24"/>
        </w:rPr>
      </w:pPr>
      <w:r w:rsidRPr="00FF4C05">
        <w:rPr>
          <w:rFonts w:ascii="PT Serif" w:hAnsi="PT Serif" w:cs="Times New Roman"/>
          <w:sz w:val="24"/>
          <w:szCs w:val="24"/>
        </w:rPr>
        <w:t xml:space="preserve">En este sentido, se establecería un mandato judicial que adopte los artículos 26 y 27 de la Convención de Viena sobre el Derecho de los Tratados como criterio de interpretación rígido, reafirmando que cualquier intento de desconocer o reinterpretar las resoluciones de la CoIDH constituye una vulneración directa del principio </w:t>
      </w:r>
      <w:r w:rsidRPr="0079020C">
        <w:rPr>
          <w:rFonts w:ascii="PT Serif" w:hAnsi="PT Serif" w:cs="Times New Roman"/>
          <w:i/>
          <w:iCs/>
          <w:sz w:val="24"/>
          <w:szCs w:val="24"/>
        </w:rPr>
        <w:t xml:space="preserve">pacta sunt servanda </w:t>
      </w:r>
      <w:r w:rsidRPr="00FF4C05">
        <w:rPr>
          <w:rFonts w:ascii="PT Serif" w:hAnsi="PT Serif" w:cs="Times New Roman"/>
          <w:sz w:val="24"/>
          <w:szCs w:val="24"/>
        </w:rPr>
        <w:t xml:space="preserve">y, en consecuencia, un retroceso en la garantía y protección de los derechos humanos. </w:t>
      </w:r>
    </w:p>
    <w:p w14:paraId="62843C07" w14:textId="60B6D53F" w:rsidR="00FF4C05" w:rsidRDefault="00FF4C05" w:rsidP="00FF4C05">
      <w:pPr>
        <w:spacing w:line="360" w:lineRule="auto"/>
        <w:ind w:firstLine="720"/>
        <w:jc w:val="both"/>
        <w:rPr>
          <w:rFonts w:ascii="PT Serif" w:hAnsi="PT Serif" w:cs="Times New Roman"/>
          <w:sz w:val="24"/>
          <w:szCs w:val="24"/>
        </w:rPr>
      </w:pPr>
      <w:r w:rsidRPr="00FF4C05">
        <w:rPr>
          <w:rFonts w:ascii="PT Serif" w:hAnsi="PT Serif" w:cs="Times New Roman"/>
          <w:sz w:val="24"/>
          <w:szCs w:val="24"/>
        </w:rPr>
        <w:t>Si bien podría argumentarse que este tipo d</w:t>
      </w:r>
      <w:r w:rsidR="0079020C">
        <w:rPr>
          <w:rFonts w:ascii="PT Serif" w:hAnsi="PT Serif" w:cs="Times New Roman"/>
          <w:sz w:val="24"/>
          <w:szCs w:val="24"/>
        </w:rPr>
        <w:t xml:space="preserve">e criterio </w:t>
      </w:r>
      <w:r w:rsidRPr="00FF4C05">
        <w:rPr>
          <w:rFonts w:ascii="PT Serif" w:hAnsi="PT Serif" w:cs="Times New Roman"/>
          <w:sz w:val="24"/>
          <w:szCs w:val="24"/>
        </w:rPr>
        <w:t>resulta reiterativ</w:t>
      </w:r>
      <w:r w:rsidR="0079020C">
        <w:rPr>
          <w:rFonts w:ascii="PT Serif" w:hAnsi="PT Serif" w:cs="Times New Roman"/>
          <w:sz w:val="24"/>
          <w:szCs w:val="24"/>
        </w:rPr>
        <w:t>o</w:t>
      </w:r>
      <w:r w:rsidRPr="00FF4C05">
        <w:rPr>
          <w:rFonts w:ascii="PT Serif" w:hAnsi="PT Serif" w:cs="Times New Roman"/>
          <w:sz w:val="24"/>
          <w:szCs w:val="24"/>
        </w:rPr>
        <w:t xml:space="preserve"> e incluso innecesari</w:t>
      </w:r>
      <w:r w:rsidR="0079020C">
        <w:rPr>
          <w:rFonts w:ascii="PT Serif" w:hAnsi="PT Serif" w:cs="Times New Roman"/>
          <w:sz w:val="24"/>
          <w:szCs w:val="24"/>
        </w:rPr>
        <w:t xml:space="preserve">o </w:t>
      </w:r>
      <w:r w:rsidRPr="00FF4C05">
        <w:rPr>
          <w:rFonts w:ascii="PT Serif" w:hAnsi="PT Serif" w:cs="Times New Roman"/>
          <w:sz w:val="24"/>
          <w:szCs w:val="24"/>
        </w:rPr>
        <w:t xml:space="preserve">considerando el bloque de constitucionalidad que rige en ambos países y que reconoce tanto el principio </w:t>
      </w:r>
      <w:r w:rsidRPr="006C1C42">
        <w:rPr>
          <w:rFonts w:ascii="PT Serif" w:hAnsi="PT Serif" w:cs="Times New Roman"/>
          <w:sz w:val="24"/>
          <w:szCs w:val="24"/>
        </w:rPr>
        <w:t>pro persona</w:t>
      </w:r>
      <w:r w:rsidRPr="00FF4C05">
        <w:rPr>
          <w:rFonts w:ascii="PT Serif" w:hAnsi="PT Serif" w:cs="Times New Roman"/>
          <w:sz w:val="24"/>
          <w:szCs w:val="24"/>
        </w:rPr>
        <w:t xml:space="preserve"> como la jerarquía suprema de los tratados internacionales en materia de derechos humanos, además de la vinculatoriedad de la jurisprudencia de la CoIDH para las autoridades estatales, la práctica gubernativa evidencia que estos fundamentos no han sido suficientes. En consecuencia, se vuelve imprescindible la implementación de directrices obligatorias que, en casos urgentes como la desaparición forzada, refuercen el carácter inmutable de la jurisprudencia interamericana, dejando claro a las autoridades que su cumplimiento no está sujeto a reinterpretaciones discrecionales ni a coyunturas políticas.</w:t>
      </w:r>
    </w:p>
    <w:p w14:paraId="1289051F" w14:textId="058ED2AD" w:rsidR="00454854" w:rsidRPr="00FF4C05" w:rsidRDefault="00454854" w:rsidP="00FF4C05">
      <w:pPr>
        <w:spacing w:line="360" w:lineRule="auto"/>
        <w:ind w:firstLine="720"/>
        <w:jc w:val="both"/>
        <w:rPr>
          <w:rFonts w:ascii="PT Serif" w:hAnsi="PT Serif" w:cs="Times New Roman"/>
          <w:sz w:val="24"/>
          <w:szCs w:val="24"/>
        </w:rPr>
      </w:pPr>
      <w:r>
        <w:rPr>
          <w:rFonts w:ascii="PT Serif" w:hAnsi="PT Serif" w:cs="Times New Roman"/>
          <w:sz w:val="24"/>
          <w:szCs w:val="24"/>
        </w:rPr>
        <w:t xml:space="preserve">Estaríamos estableciendo, lo que Cossío (2017) refería, en encontrar una uniformidad respecto al derecho internacional para evitar una disparidad elemental en las formas que emprenden la labor de explicar el significado o los propósitos de los instrumentos internacionales que han llegado a diferir, por más que existan principios sobre la aplicabilidad estricta de la fuente jurídica internacional en materia de </w:t>
      </w:r>
      <w:r>
        <w:rPr>
          <w:rFonts w:ascii="PT Serif" w:hAnsi="PT Serif" w:cs="Times New Roman"/>
          <w:sz w:val="24"/>
          <w:szCs w:val="24"/>
        </w:rPr>
        <w:lastRenderedPageBreak/>
        <w:t>derechos humanos, con las opiniones y</w:t>
      </w:r>
      <w:r w:rsidR="00DA544E">
        <w:rPr>
          <w:rFonts w:ascii="PT Serif" w:hAnsi="PT Serif" w:cs="Times New Roman"/>
          <w:sz w:val="24"/>
          <w:szCs w:val="24"/>
        </w:rPr>
        <w:t xml:space="preserve"> </w:t>
      </w:r>
      <w:r>
        <w:rPr>
          <w:rFonts w:ascii="PT Serif" w:hAnsi="PT Serif" w:cs="Times New Roman"/>
          <w:sz w:val="24"/>
          <w:szCs w:val="24"/>
        </w:rPr>
        <w:t>criterios emitid</w:t>
      </w:r>
      <w:r w:rsidR="00DA544E">
        <w:rPr>
          <w:rFonts w:ascii="PT Serif" w:hAnsi="PT Serif" w:cs="Times New Roman"/>
          <w:sz w:val="24"/>
          <w:szCs w:val="24"/>
        </w:rPr>
        <w:t>o</w:t>
      </w:r>
      <w:r>
        <w:rPr>
          <w:rFonts w:ascii="PT Serif" w:hAnsi="PT Serif" w:cs="Times New Roman"/>
          <w:sz w:val="24"/>
          <w:szCs w:val="24"/>
        </w:rPr>
        <w:t xml:space="preserve">s, en nuestro caso, </w:t>
      </w:r>
      <w:r w:rsidR="00E179E7">
        <w:rPr>
          <w:rFonts w:ascii="PT Serif" w:hAnsi="PT Serif" w:cs="Times New Roman"/>
          <w:sz w:val="24"/>
          <w:szCs w:val="24"/>
        </w:rPr>
        <w:t>de</w:t>
      </w:r>
      <w:r>
        <w:rPr>
          <w:rFonts w:ascii="PT Serif" w:hAnsi="PT Serif" w:cs="Times New Roman"/>
          <w:sz w:val="24"/>
          <w:szCs w:val="24"/>
        </w:rPr>
        <w:t xml:space="preserve"> la C</w:t>
      </w:r>
      <w:r w:rsidR="00450F1B">
        <w:rPr>
          <w:rFonts w:ascii="PT Serif" w:hAnsi="PT Serif" w:cs="Times New Roman"/>
          <w:sz w:val="24"/>
          <w:szCs w:val="24"/>
        </w:rPr>
        <w:t>o</w:t>
      </w:r>
      <w:r>
        <w:rPr>
          <w:rFonts w:ascii="PT Serif" w:hAnsi="PT Serif" w:cs="Times New Roman"/>
          <w:sz w:val="24"/>
          <w:szCs w:val="24"/>
        </w:rPr>
        <w:t xml:space="preserve">IDH (p. 84). </w:t>
      </w:r>
    </w:p>
    <w:p w14:paraId="4E8455A7" w14:textId="30EDB286" w:rsidR="00C148C4" w:rsidRDefault="00FF4C05" w:rsidP="00074E2D">
      <w:pPr>
        <w:spacing w:line="360" w:lineRule="auto"/>
        <w:ind w:firstLine="720"/>
        <w:jc w:val="both"/>
        <w:rPr>
          <w:rFonts w:ascii="PT Serif" w:hAnsi="PT Serif" w:cs="Times New Roman"/>
          <w:sz w:val="24"/>
          <w:szCs w:val="24"/>
        </w:rPr>
      </w:pPr>
      <w:r w:rsidRPr="00FF4C05">
        <w:rPr>
          <w:rFonts w:ascii="PT Serif" w:hAnsi="PT Serif" w:cs="Times New Roman"/>
          <w:sz w:val="24"/>
          <w:szCs w:val="24"/>
        </w:rPr>
        <w:t xml:space="preserve">De este modo, el diálogo político perdería fuerza como pretexto para justificar el incumplimiento de los mandatos internacionales, pues la alineación entre la jurisprudencia nacional e interamericana cerraría cualquier resquicio para eludir responsabilidades internacionales. </w:t>
      </w:r>
    </w:p>
    <w:p w14:paraId="165542E8" w14:textId="7E7CE943" w:rsidR="00963D8D" w:rsidRPr="00963D8D" w:rsidRDefault="00963D8D" w:rsidP="00963D8D">
      <w:pPr>
        <w:pStyle w:val="Prrafodelista"/>
        <w:numPr>
          <w:ilvl w:val="0"/>
          <w:numId w:val="23"/>
        </w:numPr>
        <w:spacing w:line="360" w:lineRule="auto"/>
        <w:jc w:val="both"/>
        <w:rPr>
          <w:rFonts w:ascii="PT Serif" w:hAnsi="PT Serif" w:cs="Times New Roman"/>
          <w:i/>
          <w:iCs/>
          <w:sz w:val="24"/>
          <w:szCs w:val="24"/>
        </w:rPr>
      </w:pPr>
      <w:r w:rsidRPr="00963D8D">
        <w:rPr>
          <w:rFonts w:ascii="PT Serif" w:hAnsi="PT Serif" w:cs="Times New Roman"/>
          <w:i/>
          <w:iCs/>
          <w:sz w:val="24"/>
          <w:szCs w:val="24"/>
        </w:rPr>
        <w:t xml:space="preserve">LEY DE EJECUCIÓN DE SENTENCIAS INTERNACIONALES </w:t>
      </w:r>
    </w:p>
    <w:p w14:paraId="06301E18" w14:textId="0CB1F886" w:rsidR="00E80F91" w:rsidRDefault="00963D8D" w:rsidP="00963D8D">
      <w:pPr>
        <w:spacing w:line="360" w:lineRule="auto"/>
        <w:ind w:firstLine="720"/>
        <w:jc w:val="both"/>
        <w:rPr>
          <w:rFonts w:ascii="PT Serif" w:hAnsi="PT Serif"/>
          <w:sz w:val="24"/>
          <w:szCs w:val="24"/>
        </w:rPr>
      </w:pPr>
      <w:r w:rsidRPr="00963D8D">
        <w:rPr>
          <w:rFonts w:ascii="PT Serif" w:hAnsi="PT Serif" w:cs="Times New Roman"/>
          <w:sz w:val="24"/>
          <w:szCs w:val="24"/>
        </w:rPr>
        <w:t xml:space="preserve">Finalmente, otra alternativa funcional radicaría </w:t>
      </w:r>
      <w:r>
        <w:rPr>
          <w:rFonts w:ascii="PT Serif" w:hAnsi="PT Serif"/>
          <w:sz w:val="24"/>
          <w:szCs w:val="24"/>
        </w:rPr>
        <w:t>en l</w:t>
      </w:r>
      <w:r w:rsidRPr="00963D8D">
        <w:rPr>
          <w:rFonts w:ascii="PT Serif" w:hAnsi="PT Serif"/>
          <w:sz w:val="24"/>
          <w:szCs w:val="24"/>
        </w:rPr>
        <w:t>a ampliación y fortalecimiento del marco normativo existente</w:t>
      </w:r>
      <w:r w:rsidR="00E80F91">
        <w:rPr>
          <w:rFonts w:ascii="PT Serif" w:hAnsi="PT Serif"/>
          <w:sz w:val="24"/>
          <w:szCs w:val="24"/>
        </w:rPr>
        <w:t xml:space="preserve">, propiamente en el desarrollo o actualización de leyes que aseguren la dinámica a seguir para el cumplimiento de sentencias. Lo cual respondería a lo señalado por López (2019) como una de las limitaciones al fortalecimiento del Sistema Internacional de Derechos Humanos relativo a que la “mayoría de los países </w:t>
      </w:r>
      <w:r w:rsidR="00E80F91" w:rsidRPr="00E80F91">
        <w:rPr>
          <w:rFonts w:ascii="PT Serif" w:hAnsi="PT Serif"/>
          <w:sz w:val="24"/>
          <w:szCs w:val="24"/>
        </w:rPr>
        <w:t>no cuentan con legislación específica local que señalen con claridad el procedimiento que hay que seguir para implementar y ejecutar las medidas ordenadas por la Corte IDH</w:t>
      </w:r>
      <w:r w:rsidR="00E80F91">
        <w:rPr>
          <w:rFonts w:ascii="PT Serif" w:hAnsi="PT Serif"/>
          <w:sz w:val="24"/>
          <w:szCs w:val="24"/>
        </w:rPr>
        <w:t>”</w:t>
      </w:r>
      <w:r w:rsidR="000C2483">
        <w:rPr>
          <w:rFonts w:ascii="PT Serif" w:hAnsi="PT Serif"/>
          <w:sz w:val="24"/>
          <w:szCs w:val="24"/>
        </w:rPr>
        <w:t xml:space="preserve"> (p. 216).</w:t>
      </w:r>
    </w:p>
    <w:p w14:paraId="6D10ECEC" w14:textId="58A32786" w:rsidR="00963D8D" w:rsidRPr="00963D8D" w:rsidRDefault="00963D8D" w:rsidP="00963D8D">
      <w:pPr>
        <w:spacing w:line="360" w:lineRule="auto"/>
        <w:ind w:firstLine="720"/>
        <w:jc w:val="both"/>
        <w:rPr>
          <w:rFonts w:ascii="PT Serif" w:hAnsi="PT Serif"/>
          <w:sz w:val="24"/>
          <w:szCs w:val="24"/>
        </w:rPr>
      </w:pPr>
      <w:r w:rsidRPr="00963D8D">
        <w:rPr>
          <w:rFonts w:ascii="PT Serif" w:hAnsi="PT Serif"/>
          <w:sz w:val="24"/>
          <w:szCs w:val="24"/>
        </w:rPr>
        <w:t>En el caso peruano, la Ley 27775, también conocida como Ley de Ejecución de Sentencias emitidas por Tribunales Supranacionales, representa un avance significativo, pues establece mecanismos específicos para el cumplimiento de las resoluciones del Tribunal Interamericano, particularmente en lo que respecta a reparaciones económicas. Sin embargo, su alcance es limitado, ya que no contempla de manera clara otras medidas fundamentales, como el reconocimiento internacional de los hechos, la publicación de sentencias o la articulación de investigaciones inmediatas y efectivas sobre los crímenes de desaparición forzada</w:t>
      </w:r>
      <w:r>
        <w:rPr>
          <w:rFonts w:ascii="PT Serif" w:hAnsi="PT Serif"/>
          <w:sz w:val="24"/>
          <w:szCs w:val="24"/>
        </w:rPr>
        <w:t xml:space="preserve">; aspectos que </w:t>
      </w:r>
      <w:r w:rsidR="00E13235">
        <w:rPr>
          <w:rFonts w:ascii="PT Serif" w:hAnsi="PT Serif"/>
          <w:sz w:val="24"/>
          <w:szCs w:val="24"/>
        </w:rPr>
        <w:t xml:space="preserve">se </w:t>
      </w:r>
      <w:r>
        <w:rPr>
          <w:rFonts w:ascii="PT Serif" w:hAnsi="PT Serif"/>
          <w:sz w:val="24"/>
          <w:szCs w:val="24"/>
        </w:rPr>
        <w:t xml:space="preserve">deberían de tomar en cuenta para un fortalecimiento en la normatividad vigente. </w:t>
      </w:r>
    </w:p>
    <w:p w14:paraId="7E5FD022" w14:textId="495A74CC" w:rsidR="00101D93" w:rsidRDefault="00963D8D" w:rsidP="00101D93">
      <w:pPr>
        <w:spacing w:line="360" w:lineRule="auto"/>
        <w:ind w:firstLine="720"/>
        <w:jc w:val="both"/>
        <w:rPr>
          <w:rFonts w:ascii="PT Serif" w:hAnsi="PT Serif" w:cs="Times New Roman"/>
          <w:sz w:val="24"/>
          <w:szCs w:val="24"/>
        </w:rPr>
      </w:pPr>
      <w:r>
        <w:rPr>
          <w:rFonts w:ascii="PT Serif" w:hAnsi="PT Serif" w:cs="Times New Roman"/>
          <w:sz w:val="24"/>
          <w:szCs w:val="24"/>
        </w:rPr>
        <w:lastRenderedPageBreak/>
        <w:t xml:space="preserve">Para el caso mexicano, </w:t>
      </w:r>
      <w:r w:rsidRPr="00963D8D">
        <w:rPr>
          <w:rFonts w:ascii="PT Serif" w:hAnsi="PT Serif" w:cs="Times New Roman"/>
          <w:sz w:val="24"/>
          <w:szCs w:val="24"/>
        </w:rPr>
        <w:t>a pesar del reconocimiento del control de convencionalidad y de la obligatoriedad de las resoluciones de la CoIDH</w:t>
      </w:r>
      <w:r>
        <w:rPr>
          <w:rStyle w:val="Refdenotaalpie"/>
          <w:rFonts w:ascii="PT Serif" w:hAnsi="PT Serif" w:cs="Times New Roman"/>
          <w:sz w:val="24"/>
          <w:szCs w:val="24"/>
        </w:rPr>
        <w:footnoteReference w:id="22"/>
      </w:r>
      <w:r>
        <w:rPr>
          <w:rFonts w:ascii="PT Serif" w:hAnsi="PT Serif" w:cs="Times New Roman"/>
          <w:sz w:val="24"/>
          <w:szCs w:val="24"/>
        </w:rPr>
        <w:t xml:space="preserve">, la implementación de esta medida complementaría la obligatoriedad de las sentencias y nos acercaríamos a la uniformidad de la que se hablaba en los párrafos anteriores. </w:t>
      </w:r>
      <w:r w:rsidR="00101D93">
        <w:rPr>
          <w:rFonts w:ascii="PT Serif" w:hAnsi="PT Serif" w:cs="Times New Roman"/>
          <w:sz w:val="24"/>
          <w:szCs w:val="24"/>
        </w:rPr>
        <w:t xml:space="preserve">A manera propositiva, tomando como guía la propia Ley </w:t>
      </w:r>
      <w:r w:rsidR="00101D93" w:rsidRPr="00101D93">
        <w:rPr>
          <w:rFonts w:ascii="PT Serif" w:hAnsi="PT Serif" w:cs="Times New Roman"/>
          <w:sz w:val="24"/>
          <w:szCs w:val="24"/>
        </w:rPr>
        <w:t>N° 27775</w:t>
      </w:r>
      <w:r w:rsidR="00DA1D6B">
        <w:rPr>
          <w:rFonts w:ascii="PT Serif" w:hAnsi="PT Serif" w:cs="Times New Roman"/>
          <w:sz w:val="24"/>
          <w:szCs w:val="24"/>
        </w:rPr>
        <w:t xml:space="preserve"> de</w:t>
      </w:r>
      <w:r w:rsidR="00101D93" w:rsidRPr="00101D93">
        <w:rPr>
          <w:rFonts w:ascii="PT Serif" w:hAnsi="PT Serif" w:cs="Times New Roman"/>
          <w:sz w:val="24"/>
          <w:szCs w:val="24"/>
        </w:rPr>
        <w:t xml:space="preserve"> </w:t>
      </w:r>
      <w:r w:rsidR="00101D93">
        <w:rPr>
          <w:rFonts w:ascii="PT Serif" w:hAnsi="PT Serif" w:cs="Times New Roman"/>
          <w:sz w:val="24"/>
          <w:szCs w:val="24"/>
        </w:rPr>
        <w:t>Perú, así como Ley 393 de 1997 de Colombia</w:t>
      </w:r>
      <w:r w:rsidR="00101D93">
        <w:rPr>
          <w:rStyle w:val="Refdenotaalpie"/>
          <w:rFonts w:ascii="PT Serif" w:hAnsi="PT Serif" w:cs="Times New Roman"/>
          <w:sz w:val="24"/>
          <w:szCs w:val="24"/>
        </w:rPr>
        <w:footnoteReference w:id="23"/>
      </w:r>
      <w:r w:rsidR="00101D93">
        <w:rPr>
          <w:rFonts w:ascii="PT Serif" w:hAnsi="PT Serif" w:cs="Times New Roman"/>
          <w:sz w:val="24"/>
          <w:szCs w:val="24"/>
        </w:rPr>
        <w:t xml:space="preserve">, el contenido que tendría esta norma sería el siguiente dividido en al menos </w:t>
      </w:r>
      <w:r w:rsidR="005C2605">
        <w:rPr>
          <w:rFonts w:ascii="PT Serif" w:hAnsi="PT Serif" w:cs="Times New Roman"/>
          <w:sz w:val="24"/>
          <w:szCs w:val="24"/>
        </w:rPr>
        <w:t>cinco</w:t>
      </w:r>
      <w:r w:rsidR="00101D93">
        <w:rPr>
          <w:rFonts w:ascii="PT Serif" w:hAnsi="PT Serif" w:cs="Times New Roman"/>
          <w:sz w:val="24"/>
          <w:szCs w:val="24"/>
        </w:rPr>
        <w:t xml:space="preserve"> apartados fundamentales:</w:t>
      </w:r>
    </w:p>
    <w:p w14:paraId="16A58C0F" w14:textId="49DF34CC" w:rsidR="00101D93" w:rsidRPr="005F50C7" w:rsidRDefault="00895EB1" w:rsidP="00074E2D">
      <w:pPr>
        <w:pStyle w:val="Prrafodelista"/>
        <w:numPr>
          <w:ilvl w:val="0"/>
          <w:numId w:val="31"/>
        </w:numPr>
        <w:spacing w:line="360" w:lineRule="auto"/>
        <w:ind w:left="714" w:hanging="357"/>
        <w:jc w:val="both"/>
        <w:rPr>
          <w:rFonts w:ascii="PT Serif" w:hAnsi="PT Serif" w:cs="Times New Roman"/>
          <w:sz w:val="24"/>
          <w:szCs w:val="24"/>
        </w:rPr>
      </w:pPr>
      <w:r w:rsidRPr="005F50C7">
        <w:rPr>
          <w:rFonts w:ascii="PT Serif" w:hAnsi="PT Serif" w:cs="Times New Roman"/>
          <w:sz w:val="24"/>
          <w:szCs w:val="24"/>
        </w:rPr>
        <w:t>Objeto</w:t>
      </w:r>
      <w:r w:rsidR="005F50C7">
        <w:rPr>
          <w:rFonts w:ascii="PT Serif" w:hAnsi="PT Serif" w:cs="Times New Roman"/>
          <w:sz w:val="24"/>
          <w:szCs w:val="24"/>
        </w:rPr>
        <w:t xml:space="preserve">: </w:t>
      </w:r>
      <w:r w:rsidRPr="005F50C7">
        <w:rPr>
          <w:rFonts w:ascii="PT Serif" w:hAnsi="PT Serif" w:cs="Times New Roman"/>
          <w:sz w:val="24"/>
          <w:szCs w:val="24"/>
        </w:rPr>
        <w:t xml:space="preserve">La ley tendría como objeto establecer reglas y procedimientos para la ejecución de sentencias emitidas por la CoIDH, garantizando su cumplimiento efectivo, la reparación integral de las víctimas y el fortalecimiento en la protección de derechos. </w:t>
      </w:r>
    </w:p>
    <w:p w14:paraId="2B18F274" w14:textId="0137F20F" w:rsidR="00895EB1" w:rsidRPr="005F50C7" w:rsidRDefault="005C2605" w:rsidP="00074E2D">
      <w:pPr>
        <w:pStyle w:val="Prrafodelista"/>
        <w:numPr>
          <w:ilvl w:val="0"/>
          <w:numId w:val="31"/>
        </w:numPr>
        <w:spacing w:line="360" w:lineRule="auto"/>
        <w:ind w:left="714" w:hanging="357"/>
        <w:jc w:val="both"/>
        <w:rPr>
          <w:rFonts w:ascii="PT Serif" w:hAnsi="PT Serif" w:cs="Times New Roman"/>
          <w:sz w:val="24"/>
          <w:szCs w:val="24"/>
        </w:rPr>
      </w:pPr>
      <w:r w:rsidRPr="005F50C7">
        <w:rPr>
          <w:rFonts w:ascii="PT Serif" w:hAnsi="PT Serif" w:cs="Times New Roman"/>
          <w:sz w:val="24"/>
          <w:szCs w:val="24"/>
        </w:rPr>
        <w:t>Competencias</w:t>
      </w:r>
      <w:r w:rsidR="005F50C7">
        <w:rPr>
          <w:rFonts w:ascii="PT Serif" w:hAnsi="PT Serif" w:cs="Times New Roman"/>
          <w:sz w:val="24"/>
          <w:szCs w:val="24"/>
        </w:rPr>
        <w:t>:</w:t>
      </w:r>
      <w:r w:rsidR="00895EB1" w:rsidRPr="005F50C7">
        <w:rPr>
          <w:rFonts w:ascii="PT Serif" w:hAnsi="PT Serif" w:cs="Times New Roman"/>
          <w:sz w:val="24"/>
          <w:szCs w:val="24"/>
        </w:rPr>
        <w:t xml:space="preserve"> Se establecería </w:t>
      </w:r>
      <w:r w:rsidRPr="005F50C7">
        <w:rPr>
          <w:rFonts w:ascii="PT Serif" w:hAnsi="PT Serif" w:cs="Times New Roman"/>
          <w:sz w:val="24"/>
          <w:szCs w:val="24"/>
        </w:rPr>
        <w:t>la división competencial</w:t>
      </w:r>
      <w:r w:rsidR="00895EB1" w:rsidRPr="005F50C7">
        <w:rPr>
          <w:rFonts w:ascii="PT Serif" w:hAnsi="PT Serif" w:cs="Times New Roman"/>
          <w:sz w:val="24"/>
          <w:szCs w:val="24"/>
        </w:rPr>
        <w:t xml:space="preserve">, destacándose dos: la Suprema Corte de Justicia de la Nación con apoyo del Órgano de Administración Judicial, y </w:t>
      </w:r>
      <w:r w:rsidRPr="005F50C7">
        <w:rPr>
          <w:rFonts w:ascii="PT Serif" w:hAnsi="PT Serif" w:cs="Times New Roman"/>
          <w:sz w:val="24"/>
          <w:szCs w:val="24"/>
        </w:rPr>
        <w:t>un</w:t>
      </w:r>
      <w:r w:rsidR="00895EB1" w:rsidRPr="005F50C7">
        <w:rPr>
          <w:rFonts w:ascii="PT Serif" w:hAnsi="PT Serif" w:cs="Times New Roman"/>
          <w:sz w:val="24"/>
          <w:szCs w:val="24"/>
        </w:rPr>
        <w:t xml:space="preserve"> </w:t>
      </w:r>
      <w:r w:rsidRPr="005F50C7">
        <w:rPr>
          <w:rFonts w:ascii="PT Serif" w:hAnsi="PT Serif" w:cs="Times New Roman"/>
          <w:sz w:val="24"/>
          <w:szCs w:val="24"/>
        </w:rPr>
        <w:t>co</w:t>
      </w:r>
      <w:r w:rsidR="00895EB1" w:rsidRPr="005F50C7">
        <w:rPr>
          <w:rFonts w:ascii="PT Serif" w:hAnsi="PT Serif" w:cs="Times New Roman"/>
          <w:sz w:val="24"/>
          <w:szCs w:val="24"/>
        </w:rPr>
        <w:t xml:space="preserve">mité de </w:t>
      </w:r>
      <w:r w:rsidRPr="005F50C7">
        <w:rPr>
          <w:rFonts w:ascii="PT Serif" w:hAnsi="PT Serif" w:cs="Times New Roman"/>
          <w:sz w:val="24"/>
          <w:szCs w:val="24"/>
        </w:rPr>
        <w:t>s</w:t>
      </w:r>
      <w:r w:rsidR="00895EB1" w:rsidRPr="005F50C7">
        <w:rPr>
          <w:rFonts w:ascii="PT Serif" w:hAnsi="PT Serif" w:cs="Times New Roman"/>
          <w:sz w:val="24"/>
          <w:szCs w:val="24"/>
        </w:rPr>
        <w:t>upervisión</w:t>
      </w:r>
      <w:r w:rsidRPr="005F50C7">
        <w:rPr>
          <w:rFonts w:ascii="PT Serif" w:hAnsi="PT Serif" w:cs="Times New Roman"/>
          <w:sz w:val="24"/>
          <w:szCs w:val="24"/>
        </w:rPr>
        <w:t xml:space="preserve">. </w:t>
      </w:r>
    </w:p>
    <w:p w14:paraId="49F88771" w14:textId="472CF36E" w:rsidR="005F50C7" w:rsidRDefault="005C2605" w:rsidP="00074E2D">
      <w:pPr>
        <w:pStyle w:val="Prrafodelista"/>
        <w:numPr>
          <w:ilvl w:val="0"/>
          <w:numId w:val="31"/>
        </w:numPr>
        <w:spacing w:line="360" w:lineRule="auto"/>
        <w:ind w:left="714" w:hanging="357"/>
        <w:jc w:val="both"/>
        <w:rPr>
          <w:rFonts w:ascii="PT Serif" w:hAnsi="PT Serif" w:cs="Times New Roman"/>
          <w:sz w:val="24"/>
          <w:szCs w:val="24"/>
        </w:rPr>
      </w:pPr>
      <w:r w:rsidRPr="005F50C7">
        <w:rPr>
          <w:rFonts w:ascii="PT Serif" w:hAnsi="PT Serif" w:cs="Times New Roman"/>
          <w:sz w:val="24"/>
          <w:szCs w:val="24"/>
        </w:rPr>
        <w:t>Forma de ejecución</w:t>
      </w:r>
      <w:r w:rsidR="005F50C7">
        <w:rPr>
          <w:rFonts w:ascii="PT Serif" w:hAnsi="PT Serif" w:cs="Times New Roman"/>
          <w:sz w:val="24"/>
          <w:szCs w:val="24"/>
        </w:rPr>
        <w:t xml:space="preserve">: </w:t>
      </w:r>
      <w:r w:rsidRPr="005F50C7">
        <w:rPr>
          <w:rFonts w:ascii="PT Serif" w:hAnsi="PT Serif" w:cs="Times New Roman"/>
          <w:sz w:val="24"/>
          <w:szCs w:val="24"/>
        </w:rPr>
        <w:t>Primero, la autoridad competente debe notificar formalmente la sentencia a las instancias correspondientes en un plazo determinado. Si la sentencia implica una reparación económica, el ente estatal responsable debe iniciar el pago en el mismo plazo. Para otras obligaciones no monetarias, se habría de elaborar un plan de acción con seguimiento periódico.</w:t>
      </w:r>
    </w:p>
    <w:p w14:paraId="5873D130" w14:textId="2BB37236" w:rsidR="005F50C7" w:rsidRPr="005F50C7" w:rsidRDefault="005C2605" w:rsidP="00074E2D">
      <w:pPr>
        <w:pStyle w:val="Prrafodelista"/>
        <w:numPr>
          <w:ilvl w:val="0"/>
          <w:numId w:val="31"/>
        </w:numPr>
        <w:spacing w:line="360" w:lineRule="auto"/>
        <w:ind w:left="714" w:hanging="357"/>
        <w:jc w:val="both"/>
        <w:rPr>
          <w:rFonts w:ascii="PT Serif" w:hAnsi="PT Serif" w:cs="Times New Roman"/>
          <w:sz w:val="24"/>
          <w:szCs w:val="24"/>
        </w:rPr>
      </w:pPr>
      <w:r w:rsidRPr="005F50C7">
        <w:rPr>
          <w:rFonts w:ascii="PT Serif" w:hAnsi="PT Serif" w:cs="Times New Roman"/>
          <w:sz w:val="24"/>
          <w:szCs w:val="24"/>
        </w:rPr>
        <w:t>Mecanismos de supervisión</w:t>
      </w:r>
      <w:r w:rsidR="005F50C7">
        <w:rPr>
          <w:rFonts w:ascii="PT Serif" w:hAnsi="PT Serif" w:cs="Times New Roman"/>
          <w:sz w:val="24"/>
          <w:szCs w:val="24"/>
        </w:rPr>
        <w:t>:</w:t>
      </w:r>
      <w:r w:rsidRPr="005F50C7">
        <w:rPr>
          <w:rFonts w:ascii="PT Serif" w:hAnsi="PT Serif" w:cs="Times New Roman"/>
          <w:sz w:val="24"/>
          <w:szCs w:val="24"/>
        </w:rPr>
        <w:t xml:space="preserve"> Existiría un comité de supervisión de sentencias </w:t>
      </w:r>
      <w:r w:rsidRPr="005F50C7">
        <w:rPr>
          <w:rFonts w:ascii="PT Serif" w:hAnsi="PT Serif"/>
          <w:sz w:val="24"/>
          <w:szCs w:val="24"/>
        </w:rPr>
        <w:t xml:space="preserve">encargado de vigilar la ejecución de sentencias internacionales, integrado por </w:t>
      </w:r>
      <w:r w:rsidRPr="005F50C7">
        <w:rPr>
          <w:rFonts w:ascii="PT Serif" w:hAnsi="PT Serif"/>
          <w:sz w:val="24"/>
          <w:szCs w:val="24"/>
        </w:rPr>
        <w:lastRenderedPageBreak/>
        <w:t>representantes del gobierno, el poder judicial y la sociedad civil. Sus funciones serían: monitorear el cumplimiento y emitir informes, detectar obstáculos en la ejecución y proponer soluciones, así como recomendar medidas correctivas o reformas normativas necesarias.</w:t>
      </w:r>
    </w:p>
    <w:p w14:paraId="63E41D08" w14:textId="6286779A" w:rsidR="005C2605" w:rsidRPr="005F50C7" w:rsidRDefault="005C2605" w:rsidP="00074E2D">
      <w:pPr>
        <w:pStyle w:val="Prrafodelista"/>
        <w:numPr>
          <w:ilvl w:val="0"/>
          <w:numId w:val="31"/>
        </w:numPr>
        <w:spacing w:line="360" w:lineRule="auto"/>
        <w:ind w:left="714" w:hanging="357"/>
        <w:jc w:val="both"/>
        <w:rPr>
          <w:rFonts w:ascii="PT Serif" w:hAnsi="PT Serif" w:cs="Times New Roman"/>
          <w:sz w:val="24"/>
          <w:szCs w:val="24"/>
        </w:rPr>
      </w:pPr>
      <w:r w:rsidRPr="005F50C7">
        <w:rPr>
          <w:rFonts w:ascii="PT Serif" w:hAnsi="PT Serif"/>
          <w:sz w:val="24"/>
          <w:szCs w:val="24"/>
        </w:rPr>
        <w:t>Sanciones y responsabilidad</w:t>
      </w:r>
      <w:r w:rsidR="005F50C7">
        <w:rPr>
          <w:rFonts w:ascii="PT Serif" w:hAnsi="PT Serif"/>
          <w:sz w:val="24"/>
          <w:szCs w:val="24"/>
        </w:rPr>
        <w:t>:</w:t>
      </w:r>
      <w:r w:rsidRPr="005F50C7">
        <w:rPr>
          <w:rFonts w:ascii="PT Serif" w:hAnsi="PT Serif"/>
          <w:sz w:val="24"/>
          <w:szCs w:val="24"/>
        </w:rPr>
        <w:t xml:space="preserve"> El incumplimiento de las responsabilidad enmarcadas dentro de los plazos señalados constituiría una falta administrativa lo cual daría a que particularmente aquellas autoridades o entes responsables sean sujetos a sanciones conforme a la Ley General de Responsabilidades Administrativas y la Ley Orgánica del Poder Judicial de la Federación, respectivamente. </w:t>
      </w:r>
    </w:p>
    <w:p w14:paraId="4B02EFF6" w14:textId="0E19EF17" w:rsidR="00963D8D" w:rsidRDefault="00963D8D" w:rsidP="005F50C7">
      <w:pPr>
        <w:spacing w:line="360" w:lineRule="auto"/>
        <w:ind w:firstLine="720"/>
        <w:jc w:val="both"/>
        <w:rPr>
          <w:rFonts w:ascii="PT Serif" w:hAnsi="PT Serif" w:cs="Times New Roman"/>
          <w:sz w:val="24"/>
          <w:szCs w:val="24"/>
        </w:rPr>
      </w:pPr>
      <w:r>
        <w:rPr>
          <w:rFonts w:ascii="PT Serif" w:hAnsi="PT Serif" w:cs="Times New Roman"/>
          <w:sz w:val="24"/>
          <w:szCs w:val="24"/>
        </w:rPr>
        <w:t>A partir de la ampliación de la norma preexistente en Perú, y la incorporación de esta misma, pero en el sistema mexicano</w:t>
      </w:r>
      <w:r w:rsidR="00E13235">
        <w:rPr>
          <w:rFonts w:ascii="PT Serif" w:hAnsi="PT Serif" w:cs="Times New Roman"/>
          <w:sz w:val="24"/>
          <w:szCs w:val="24"/>
        </w:rPr>
        <w:t xml:space="preserve">, se </w:t>
      </w:r>
      <w:r>
        <w:rPr>
          <w:rFonts w:ascii="PT Serif" w:hAnsi="PT Serif" w:cs="Times New Roman"/>
          <w:sz w:val="24"/>
          <w:szCs w:val="24"/>
        </w:rPr>
        <w:t xml:space="preserve">permitiría que las </w:t>
      </w:r>
      <w:r w:rsidRPr="00963D8D">
        <w:rPr>
          <w:rFonts w:ascii="PT Serif" w:hAnsi="PT Serif" w:cs="Times New Roman"/>
          <w:sz w:val="24"/>
          <w:szCs w:val="24"/>
        </w:rPr>
        <w:t>sentencias internacionales sean ejecutadas de manera homogénea y obligatoria, dotando de mayor seguridad jurídica a las víctimas y sus familias</w:t>
      </w:r>
      <w:r>
        <w:rPr>
          <w:rFonts w:ascii="PT Serif" w:hAnsi="PT Serif" w:cs="Times New Roman"/>
          <w:sz w:val="24"/>
          <w:szCs w:val="24"/>
        </w:rPr>
        <w:t xml:space="preserve">. Además, </w:t>
      </w:r>
      <w:r w:rsidRPr="00963D8D">
        <w:rPr>
          <w:rFonts w:ascii="PT Serif" w:hAnsi="PT Serif" w:cs="Times New Roman"/>
          <w:sz w:val="24"/>
          <w:szCs w:val="24"/>
        </w:rPr>
        <w:t>evitaría la fragmentación de responsabilidades entre las instituciones del Estado, asegurando que las medidas ordenadas por la CoIDH sean implementadas con celeridad y eficacia</w:t>
      </w:r>
      <w:r>
        <w:rPr>
          <w:rFonts w:ascii="PT Serif" w:hAnsi="PT Serif" w:cs="Times New Roman"/>
          <w:sz w:val="24"/>
          <w:szCs w:val="24"/>
        </w:rPr>
        <w:t xml:space="preserve"> a partir de una norma precisa.</w:t>
      </w:r>
    </w:p>
    <w:p w14:paraId="5C749407" w14:textId="29E68111" w:rsidR="005F50C7" w:rsidRDefault="000C2483" w:rsidP="00074E2D">
      <w:pPr>
        <w:spacing w:line="360" w:lineRule="auto"/>
        <w:ind w:firstLine="720"/>
        <w:jc w:val="both"/>
        <w:rPr>
          <w:rFonts w:ascii="PT Serif" w:hAnsi="PT Serif" w:cs="Times New Roman"/>
          <w:sz w:val="24"/>
          <w:szCs w:val="24"/>
        </w:rPr>
      </w:pPr>
      <w:r>
        <w:rPr>
          <w:rFonts w:ascii="PT Serif" w:hAnsi="PT Serif" w:cs="Times New Roman"/>
          <w:sz w:val="24"/>
          <w:szCs w:val="24"/>
        </w:rPr>
        <w:t>Con esto proscribimos algunas propuestas que pudieran tomar atención para la mejora en el cumplimiento de las medidas de reparación dictadas por la CoIDH lo cual fortalece el principio de buena fe al consagrarse un aparato estatal con base legal y operativa más robusta. De tal manera, al finalizar la propuesta estructural del trabajo, no queda más que atender las conclusiones</w:t>
      </w:r>
      <w:r w:rsidR="009E5EE5">
        <w:rPr>
          <w:rFonts w:ascii="PT Serif" w:hAnsi="PT Serif" w:cs="Times New Roman"/>
          <w:sz w:val="24"/>
          <w:szCs w:val="24"/>
        </w:rPr>
        <w:t xml:space="preserve"> bajo un tono reflexivo. </w:t>
      </w:r>
    </w:p>
    <w:p w14:paraId="6B9AAF61" w14:textId="2506FCD5" w:rsidR="00887B51" w:rsidRPr="000430DB" w:rsidRDefault="00887B51" w:rsidP="00887B51">
      <w:pPr>
        <w:pStyle w:val="Prrafodelista"/>
        <w:numPr>
          <w:ilvl w:val="0"/>
          <w:numId w:val="2"/>
        </w:numPr>
        <w:spacing w:line="360" w:lineRule="auto"/>
        <w:jc w:val="both"/>
        <w:rPr>
          <w:rFonts w:ascii="PT Serif" w:hAnsi="PT Serif" w:cs="Times New Roman"/>
          <w:b/>
          <w:bCs/>
          <w:i/>
          <w:iCs/>
          <w:smallCaps/>
          <w:sz w:val="24"/>
          <w:szCs w:val="24"/>
        </w:rPr>
      </w:pPr>
      <w:r w:rsidRPr="000430DB">
        <w:rPr>
          <w:rFonts w:ascii="PT Serif" w:hAnsi="PT Serif" w:cs="Times New Roman"/>
          <w:b/>
          <w:bCs/>
          <w:i/>
          <w:iCs/>
          <w:smallCaps/>
          <w:sz w:val="24"/>
          <w:szCs w:val="24"/>
        </w:rPr>
        <w:t>CONCLUSIONES</w:t>
      </w:r>
      <w:r w:rsidR="00E867F7">
        <w:rPr>
          <w:rFonts w:ascii="PT Serif" w:hAnsi="PT Serif" w:cs="Times New Roman"/>
          <w:b/>
          <w:bCs/>
          <w:i/>
          <w:iCs/>
          <w:smallCaps/>
          <w:sz w:val="24"/>
          <w:szCs w:val="24"/>
        </w:rPr>
        <w:t xml:space="preserve"> </w:t>
      </w:r>
    </w:p>
    <w:p w14:paraId="5C8FAF6B" w14:textId="28934F30" w:rsidR="00420A83" w:rsidRPr="00420A83" w:rsidRDefault="00420A83" w:rsidP="00420A83">
      <w:pPr>
        <w:spacing w:line="360" w:lineRule="auto"/>
        <w:ind w:firstLine="720"/>
        <w:jc w:val="both"/>
        <w:rPr>
          <w:rFonts w:ascii="PT Serif" w:hAnsi="PT Serif" w:cs="Times New Roman"/>
          <w:sz w:val="24"/>
          <w:szCs w:val="24"/>
        </w:rPr>
      </w:pPr>
      <w:r w:rsidRPr="00420A83">
        <w:rPr>
          <w:rFonts w:ascii="PT Serif" w:hAnsi="PT Serif" w:cs="Times New Roman"/>
          <w:sz w:val="24"/>
          <w:szCs w:val="24"/>
        </w:rPr>
        <w:t xml:space="preserve">El análisis de la eficacia de las sentencias emitidas por la </w:t>
      </w:r>
      <w:r>
        <w:rPr>
          <w:rFonts w:ascii="PT Serif" w:hAnsi="PT Serif" w:cs="Times New Roman"/>
          <w:sz w:val="24"/>
          <w:szCs w:val="24"/>
        </w:rPr>
        <w:t>CoIDH</w:t>
      </w:r>
      <w:r w:rsidRPr="00420A83">
        <w:rPr>
          <w:rFonts w:ascii="PT Serif" w:hAnsi="PT Serif" w:cs="Times New Roman"/>
          <w:sz w:val="24"/>
          <w:szCs w:val="24"/>
        </w:rPr>
        <w:t xml:space="preserve"> en casos de desaparición forzada en Perú y México dibuja un horizonte desolador. A pesar de haber </w:t>
      </w:r>
      <w:r w:rsidRPr="00420A83">
        <w:rPr>
          <w:rFonts w:ascii="PT Serif" w:hAnsi="PT Serif" w:cs="Times New Roman"/>
          <w:sz w:val="24"/>
          <w:szCs w:val="24"/>
        </w:rPr>
        <w:lastRenderedPageBreak/>
        <w:t xml:space="preserve">sido pronunciadas trece sentencias condenatorias contra ambos Estados, </w:t>
      </w:r>
      <w:r w:rsidR="00153DBD">
        <w:rPr>
          <w:rFonts w:ascii="PT Serif" w:hAnsi="PT Serif" w:cs="Times New Roman"/>
          <w:sz w:val="24"/>
          <w:szCs w:val="24"/>
        </w:rPr>
        <w:t xml:space="preserve">respectivamente, </w:t>
      </w:r>
      <w:r w:rsidRPr="00420A83">
        <w:rPr>
          <w:rFonts w:ascii="PT Serif" w:hAnsi="PT Serif" w:cs="Times New Roman"/>
          <w:sz w:val="24"/>
          <w:szCs w:val="24"/>
        </w:rPr>
        <w:t>ninguna ha alcanzado un cumplimiento total. Esta constatación no es una mera estadística: es la prueba viva de una ineficacia estructural que vacía de sentido las promesas de justicia.</w:t>
      </w:r>
    </w:p>
    <w:p w14:paraId="11BF6713" w14:textId="0D300D6E" w:rsidR="00420A83" w:rsidRPr="00420A83" w:rsidRDefault="00420A83" w:rsidP="00420A83">
      <w:pPr>
        <w:spacing w:line="360" w:lineRule="auto"/>
        <w:ind w:firstLine="720"/>
        <w:jc w:val="both"/>
        <w:rPr>
          <w:rFonts w:ascii="PT Serif" w:hAnsi="PT Serif" w:cs="Times New Roman"/>
          <w:sz w:val="24"/>
          <w:szCs w:val="24"/>
        </w:rPr>
      </w:pPr>
      <w:r w:rsidRPr="00420A83">
        <w:rPr>
          <w:rFonts w:ascii="PT Serif" w:hAnsi="PT Serif" w:cs="Times New Roman"/>
          <w:sz w:val="24"/>
          <w:szCs w:val="24"/>
        </w:rPr>
        <w:t>Esta realidad socava profundamente el único resquicio de esperanza que muchas víctimas y familiares han depositado en el derecho internacional. Cuando incluso esa instancia, la más alta y noble del sistema interamericano, se vuelve letra estancada, el mensaje que llega a los pueblos no es otro que la resignación: no hay ley que los ampare, no hay juez que los escuche, no hay verdad que los restituya. La herida permanece abierta, sangrando la dignidad colectiva.</w:t>
      </w:r>
    </w:p>
    <w:p w14:paraId="576BA3EF" w14:textId="50E65AC4" w:rsidR="00420A83" w:rsidRPr="00420A83" w:rsidRDefault="00420A83" w:rsidP="00420A83">
      <w:pPr>
        <w:spacing w:line="360" w:lineRule="auto"/>
        <w:ind w:firstLine="720"/>
        <w:jc w:val="both"/>
        <w:rPr>
          <w:rFonts w:ascii="PT Serif" w:hAnsi="PT Serif" w:cs="Times New Roman"/>
          <w:sz w:val="24"/>
          <w:szCs w:val="24"/>
        </w:rPr>
      </w:pPr>
      <w:r w:rsidRPr="00420A83">
        <w:rPr>
          <w:rFonts w:ascii="PT Serif" w:hAnsi="PT Serif" w:cs="Times New Roman"/>
          <w:sz w:val="24"/>
          <w:szCs w:val="24"/>
        </w:rPr>
        <w:t>Frente a ello, urge replantear el significado del compromiso internacional, apartándonos de lecturas fragmentadas que escudan el incumplimiento en una soberanía mal entendida. No basta con proclamar que las sentencias son vinculantes; hay que hacerlas vida, memoria activa, motor de transformación. Y eso implica tomar medidas claras, como las que se delinean en las propuestas de mejora: crear mecanismos eficaces, adoptar reformas audaces</w:t>
      </w:r>
      <w:r w:rsidR="00153DBD">
        <w:rPr>
          <w:rFonts w:ascii="PT Serif" w:hAnsi="PT Serif" w:cs="Times New Roman"/>
          <w:sz w:val="24"/>
          <w:szCs w:val="24"/>
        </w:rPr>
        <w:t xml:space="preserve"> </w:t>
      </w:r>
      <w:r w:rsidRPr="00420A83">
        <w:rPr>
          <w:rFonts w:ascii="PT Serif" w:hAnsi="PT Serif" w:cs="Times New Roman"/>
          <w:sz w:val="24"/>
          <w:szCs w:val="24"/>
        </w:rPr>
        <w:t>y</w:t>
      </w:r>
      <w:r w:rsidR="00153DBD">
        <w:rPr>
          <w:rFonts w:ascii="PT Serif" w:hAnsi="PT Serif" w:cs="Times New Roman"/>
          <w:sz w:val="24"/>
          <w:szCs w:val="24"/>
        </w:rPr>
        <w:t>,</w:t>
      </w:r>
      <w:r w:rsidRPr="00420A83">
        <w:rPr>
          <w:rFonts w:ascii="PT Serif" w:hAnsi="PT Serif" w:cs="Times New Roman"/>
          <w:sz w:val="24"/>
          <w:szCs w:val="24"/>
        </w:rPr>
        <w:t xml:space="preserve"> sobre todo, asumir con verdad y voluntad política que la desaparición forzada no puede ser tolerada más.</w:t>
      </w:r>
    </w:p>
    <w:p w14:paraId="6D40448C" w14:textId="4B8813E2" w:rsidR="00420A83" w:rsidRPr="00420A83" w:rsidRDefault="000A20A7" w:rsidP="00153DBD">
      <w:pPr>
        <w:spacing w:line="360" w:lineRule="auto"/>
        <w:ind w:firstLine="720"/>
        <w:jc w:val="both"/>
        <w:rPr>
          <w:rFonts w:ascii="PT Serif" w:hAnsi="PT Serif" w:cs="Times New Roman"/>
          <w:sz w:val="24"/>
          <w:szCs w:val="24"/>
        </w:rPr>
      </w:pPr>
      <w:r>
        <w:rPr>
          <w:rFonts w:ascii="PT Serif" w:hAnsi="PT Serif" w:cs="Times New Roman"/>
          <w:sz w:val="24"/>
          <w:szCs w:val="24"/>
        </w:rPr>
        <w:t>L</w:t>
      </w:r>
      <w:r w:rsidR="00420A83" w:rsidRPr="00420A83">
        <w:rPr>
          <w:rFonts w:ascii="PT Serif" w:hAnsi="PT Serif" w:cs="Times New Roman"/>
          <w:sz w:val="24"/>
          <w:szCs w:val="24"/>
        </w:rPr>
        <w:t>a omisión no distingue entre fronteras</w:t>
      </w:r>
      <w:r>
        <w:rPr>
          <w:rFonts w:ascii="PT Serif" w:hAnsi="PT Serif" w:cs="Times New Roman"/>
          <w:sz w:val="24"/>
          <w:szCs w:val="24"/>
        </w:rPr>
        <w:t>; a</w:t>
      </w:r>
      <w:r w:rsidR="00420A83" w:rsidRPr="00420A83">
        <w:rPr>
          <w:rFonts w:ascii="PT Serif" w:hAnsi="PT Serif" w:cs="Times New Roman"/>
          <w:sz w:val="24"/>
          <w:szCs w:val="24"/>
        </w:rPr>
        <w:t>unque la diferencia numérica entre los casos condenatorios es evidente, la reacción estatal ha sido igualmente esquiva: leyes que ignoran los parámetros internacionales</w:t>
      </w:r>
      <w:r w:rsidR="00153DBD">
        <w:rPr>
          <w:rFonts w:ascii="PT Serif" w:hAnsi="PT Serif" w:cs="Times New Roman"/>
          <w:sz w:val="24"/>
          <w:szCs w:val="24"/>
        </w:rPr>
        <w:t xml:space="preserve"> y </w:t>
      </w:r>
      <w:r w:rsidR="00420A83" w:rsidRPr="00420A83">
        <w:rPr>
          <w:rFonts w:ascii="PT Serif" w:hAnsi="PT Serif" w:cs="Times New Roman"/>
          <w:sz w:val="24"/>
          <w:szCs w:val="24"/>
        </w:rPr>
        <w:t xml:space="preserve">reavivan la </w:t>
      </w:r>
      <w:r w:rsidR="00153DBD" w:rsidRPr="00420A83">
        <w:rPr>
          <w:rFonts w:ascii="PT Serif" w:hAnsi="PT Serif" w:cs="Times New Roman"/>
          <w:sz w:val="24"/>
          <w:szCs w:val="24"/>
        </w:rPr>
        <w:t>impunidad</w:t>
      </w:r>
      <w:r w:rsidR="00153DBD">
        <w:rPr>
          <w:rFonts w:ascii="PT Serif" w:hAnsi="PT Serif" w:cs="Times New Roman"/>
          <w:sz w:val="24"/>
          <w:szCs w:val="24"/>
        </w:rPr>
        <w:t xml:space="preserve">. </w:t>
      </w:r>
      <w:r w:rsidR="00420A83" w:rsidRPr="00420A83">
        <w:rPr>
          <w:rFonts w:ascii="PT Serif" w:hAnsi="PT Serif" w:cs="Times New Roman"/>
          <w:sz w:val="24"/>
          <w:szCs w:val="24"/>
        </w:rPr>
        <w:t>Perú</w:t>
      </w:r>
      <w:r w:rsidR="00153DBD">
        <w:rPr>
          <w:rFonts w:ascii="PT Serif" w:hAnsi="PT Serif" w:cs="Times New Roman"/>
          <w:sz w:val="24"/>
          <w:szCs w:val="24"/>
        </w:rPr>
        <w:t xml:space="preserve"> y México,</w:t>
      </w:r>
      <w:r w:rsidR="00420A83" w:rsidRPr="00420A83">
        <w:rPr>
          <w:rFonts w:ascii="PT Serif" w:hAnsi="PT Serif" w:cs="Times New Roman"/>
          <w:sz w:val="24"/>
          <w:szCs w:val="24"/>
        </w:rPr>
        <w:t xml:space="preserve"> ambos</w:t>
      </w:r>
      <w:r w:rsidR="00153DBD">
        <w:rPr>
          <w:rFonts w:ascii="PT Serif" w:hAnsi="PT Serif" w:cs="Times New Roman"/>
          <w:sz w:val="24"/>
          <w:szCs w:val="24"/>
        </w:rPr>
        <w:t xml:space="preserve"> </w:t>
      </w:r>
      <w:r w:rsidR="00420A83" w:rsidRPr="00420A83">
        <w:rPr>
          <w:rFonts w:ascii="PT Serif" w:hAnsi="PT Serif" w:cs="Times New Roman"/>
          <w:sz w:val="24"/>
          <w:szCs w:val="24"/>
        </w:rPr>
        <w:t xml:space="preserve">han fallado. Y lo han hecho recientemente, desde sus </w:t>
      </w:r>
      <w:r w:rsidR="009E5EE5">
        <w:rPr>
          <w:rFonts w:ascii="PT Serif" w:hAnsi="PT Serif" w:cs="Times New Roman"/>
          <w:sz w:val="24"/>
          <w:szCs w:val="24"/>
        </w:rPr>
        <w:t>congresos</w:t>
      </w:r>
      <w:r w:rsidR="00420A83" w:rsidRPr="00420A83">
        <w:rPr>
          <w:rFonts w:ascii="PT Serif" w:hAnsi="PT Serif" w:cs="Times New Roman"/>
          <w:sz w:val="24"/>
          <w:szCs w:val="24"/>
        </w:rPr>
        <w:t>, desde sus tribunales, desde sus silencios.</w:t>
      </w:r>
    </w:p>
    <w:p w14:paraId="3FF9C4D8" w14:textId="0A27C515" w:rsidR="00C148C4" w:rsidRDefault="00420A83" w:rsidP="00074E2D">
      <w:pPr>
        <w:spacing w:line="360" w:lineRule="auto"/>
        <w:ind w:firstLine="720"/>
        <w:jc w:val="both"/>
        <w:rPr>
          <w:rFonts w:ascii="PT Serif" w:hAnsi="PT Serif" w:cs="Times New Roman"/>
          <w:sz w:val="24"/>
          <w:szCs w:val="24"/>
        </w:rPr>
      </w:pPr>
      <w:r w:rsidRPr="00420A83">
        <w:rPr>
          <w:rFonts w:ascii="PT Serif" w:hAnsi="PT Serif" w:cs="Times New Roman"/>
          <w:sz w:val="24"/>
          <w:szCs w:val="24"/>
        </w:rPr>
        <w:t xml:space="preserve">Atender esta deuda de forma urgente podría, quizá, devolver una brizna de esperanza a quienes han vivido años caminando entre la ausencia. Podría reinstalar en el tejido social la confianza extraviada en el Estado, en la justicia, en la humanidad. </w:t>
      </w:r>
      <w:r w:rsidRPr="00420A83">
        <w:rPr>
          <w:rFonts w:ascii="PT Serif" w:hAnsi="PT Serif" w:cs="Times New Roman"/>
          <w:sz w:val="24"/>
          <w:szCs w:val="24"/>
        </w:rPr>
        <w:lastRenderedPageBreak/>
        <w:t xml:space="preserve">Podría, al menos, aliviar el peso insoportable que cargan quienes ya no buscan justicia para vivir, sino simplemente el derecho a recordar sin miedo. Porque hoy, en demasiados rincones de nuestra América, hay </w:t>
      </w:r>
      <w:r w:rsidR="00153DBD">
        <w:rPr>
          <w:rFonts w:ascii="PT Serif" w:hAnsi="PT Serif" w:cs="Times New Roman"/>
          <w:sz w:val="24"/>
          <w:szCs w:val="24"/>
        </w:rPr>
        <w:t>comunidades</w:t>
      </w:r>
      <w:r w:rsidRPr="00420A83">
        <w:rPr>
          <w:rFonts w:ascii="PT Serif" w:hAnsi="PT Serif" w:cs="Times New Roman"/>
          <w:sz w:val="24"/>
          <w:szCs w:val="24"/>
        </w:rPr>
        <w:t xml:space="preserve"> que no sueñan con el futuro de sus hijos, sino que suplican por soñar con ellos, una noche más.</w:t>
      </w:r>
    </w:p>
    <w:p w14:paraId="59A6A2EF" w14:textId="60355E25" w:rsidR="00D8358C" w:rsidRPr="00C148C4" w:rsidRDefault="00C148C4" w:rsidP="00C148C4">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BIBLIOGRAFÍA</w:t>
      </w:r>
    </w:p>
    <w:p w14:paraId="57C60B6A" w14:textId="2EA6D36E" w:rsidR="00BC1B8E" w:rsidRPr="007B0ED6" w:rsidRDefault="00BC1B8E" w:rsidP="007B0ED6">
      <w:pPr>
        <w:spacing w:line="360" w:lineRule="auto"/>
        <w:ind w:left="720" w:hanging="720"/>
        <w:jc w:val="both"/>
        <w:rPr>
          <w:rFonts w:ascii="PT Serif" w:hAnsi="PT Serif" w:cs="Times New Roman"/>
          <w:kern w:val="0"/>
          <w:sz w:val="24"/>
          <w:szCs w:val="24"/>
        </w:rPr>
      </w:pPr>
      <w:bookmarkStart w:id="8" w:name="_Hlk191029372"/>
      <w:r w:rsidRPr="007B0ED6">
        <w:rPr>
          <w:rFonts w:ascii="PT Serif" w:hAnsi="PT Serif" w:cs="Times New Roman"/>
          <w:kern w:val="0"/>
          <w:sz w:val="24"/>
          <w:szCs w:val="24"/>
        </w:rPr>
        <w:t>Acosta López, J. I. y Espitia, C. (2019). Mecanismos de cumplimiento de sentencias y recomendaciones del Sistema Interamericano de Derechos Humanos e</w:t>
      </w:r>
      <w:r w:rsidR="00B40969" w:rsidRPr="007B0ED6">
        <w:rPr>
          <w:rFonts w:ascii="PT Serif" w:hAnsi="PT Serif" w:cs="Times New Roman"/>
          <w:kern w:val="0"/>
          <w:sz w:val="24"/>
          <w:szCs w:val="24"/>
        </w:rPr>
        <w:t>n</w:t>
      </w:r>
      <w:r w:rsidRPr="007B0ED6">
        <w:rPr>
          <w:rFonts w:ascii="PT Serif" w:hAnsi="PT Serif" w:cs="Times New Roman"/>
          <w:kern w:val="0"/>
          <w:sz w:val="24"/>
          <w:szCs w:val="24"/>
        </w:rPr>
        <w:t xml:space="preserve"> Colombia: avances, retos y dificultades. En Ferrer Mac-Gregor, E., Von Bogdandy, A., Morales Antoniazzi, M. y Saavedra Alessandri, P. (coord.), </w:t>
      </w:r>
      <w:r w:rsidRPr="007B0ED6">
        <w:rPr>
          <w:rFonts w:ascii="PT Serif" w:hAnsi="PT Serif" w:cs="Times New Roman"/>
          <w:i/>
          <w:iCs/>
          <w:kern w:val="0"/>
          <w:sz w:val="24"/>
          <w:szCs w:val="24"/>
        </w:rPr>
        <w:t xml:space="preserve">Cumplimiento e impacto de las sentencias de la Corte Interamericana y el Tribunal Europeo de Derechos Humanos. Transformando realidades </w:t>
      </w:r>
      <w:r w:rsidRPr="007B0ED6">
        <w:rPr>
          <w:rFonts w:ascii="PT Serif" w:hAnsi="PT Serif" w:cs="Times New Roman"/>
          <w:kern w:val="0"/>
          <w:sz w:val="24"/>
          <w:szCs w:val="24"/>
        </w:rPr>
        <w:t>(pp. 373-402). Universidad Nacional Autónoma de México.</w:t>
      </w:r>
    </w:p>
    <w:p w14:paraId="564D8F93" w14:textId="0F43A92B" w:rsidR="00D8358C" w:rsidRPr="007B0ED6" w:rsidRDefault="00E641C3"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Barragán Barragán, J. (2013). Conceptos mínimos sobre la soberanía. En Macías Vázquez, Ma. y Angles Hernández, M. (coord.), </w:t>
      </w:r>
      <w:r w:rsidRPr="007B0ED6">
        <w:rPr>
          <w:rFonts w:ascii="PT Serif" w:hAnsi="PT Serif" w:cs="Times New Roman"/>
          <w:i/>
          <w:iCs/>
          <w:kern w:val="0"/>
          <w:sz w:val="24"/>
          <w:szCs w:val="24"/>
        </w:rPr>
        <w:t>Estudios en Homenaje a Don José Emilio Rolando Ordóñez</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Cifuentes</w:t>
      </w:r>
      <w:r w:rsidRPr="007B0ED6">
        <w:rPr>
          <w:rFonts w:ascii="PT Serif" w:hAnsi="PT Serif" w:cs="Times New Roman"/>
          <w:kern w:val="0"/>
          <w:sz w:val="24"/>
          <w:szCs w:val="24"/>
        </w:rPr>
        <w:t xml:space="preserve"> (pp. 411-453). Universidad Nacional Autónoma de México</w:t>
      </w:r>
      <w:bookmarkEnd w:id="8"/>
      <w:r w:rsidRPr="007B0ED6">
        <w:rPr>
          <w:rFonts w:ascii="PT Serif" w:hAnsi="PT Serif" w:cs="Times New Roman"/>
          <w:kern w:val="0"/>
          <w:sz w:val="24"/>
          <w:szCs w:val="24"/>
        </w:rPr>
        <w:t xml:space="preserve">. </w:t>
      </w:r>
    </w:p>
    <w:p w14:paraId="538CD7CD" w14:textId="5E0CF589" w:rsidR="00811E22" w:rsidRPr="007B0ED6" w:rsidRDefault="00E641C3"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Cano, G. (2020). La desaparición forzada en Perú y el Sistema Interamericano de Derechos Humanos. En Ibáñez Rivas, J., Flores Pantoja, R. y Padilla Cordero, J. (coord.), </w:t>
      </w:r>
      <w:r w:rsidRPr="007B0ED6">
        <w:rPr>
          <w:rFonts w:ascii="PT Serif" w:hAnsi="PT Serif" w:cs="Times New Roman"/>
          <w:i/>
          <w:iCs/>
          <w:kern w:val="0"/>
          <w:sz w:val="24"/>
          <w:szCs w:val="24"/>
        </w:rPr>
        <w:t>Desaparición forzada en el Sistema Interamericano de Derechos Humanos. Balance, impacto y desafíos. Colección IECEQ</w:t>
      </w:r>
      <w:r w:rsidRPr="007B0ED6">
        <w:rPr>
          <w:rFonts w:ascii="PT Serif" w:hAnsi="PT Serif" w:cs="Times New Roman"/>
          <w:kern w:val="0"/>
          <w:sz w:val="24"/>
          <w:szCs w:val="24"/>
        </w:rPr>
        <w:t xml:space="preserve"> (pp. 453-484). Instituto de Estudios Constitucionales del Estado de Querétaro.</w:t>
      </w:r>
    </w:p>
    <w:p w14:paraId="701C39E5" w14:textId="703F1BCD" w:rsidR="00811E22" w:rsidRPr="007B0ED6" w:rsidRDefault="00811E22"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Cossío Díaz, J. (2017). </w:t>
      </w:r>
      <w:r w:rsidRPr="007B0ED6">
        <w:rPr>
          <w:rFonts w:ascii="PT Serif" w:hAnsi="PT Serif" w:cs="Times New Roman"/>
          <w:i/>
          <w:iCs/>
          <w:kern w:val="0"/>
          <w:sz w:val="24"/>
          <w:szCs w:val="24"/>
        </w:rPr>
        <w:t>Derechos Humanos. Apuntes y reflexiones</w:t>
      </w:r>
      <w:r w:rsidRPr="007B0ED6">
        <w:rPr>
          <w:rFonts w:ascii="PT Serif" w:hAnsi="PT Serif" w:cs="Times New Roman"/>
          <w:kern w:val="0"/>
          <w:sz w:val="24"/>
          <w:szCs w:val="24"/>
        </w:rPr>
        <w:t xml:space="preserve">. Opúsculos. El Colegio Nacional. </w:t>
      </w:r>
    </w:p>
    <w:p w14:paraId="629D3DC9" w14:textId="07F1D519"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Ferrer Mac-Gregor, E. y Góngora Maas, J. (2020). Desaparición forzada en el Sistema Interamericano de Derechos Humanos: estándares e impacto en grupos vulnerables</w:t>
      </w:r>
      <w:r w:rsidR="009501CB" w:rsidRPr="007B0ED6">
        <w:rPr>
          <w:rFonts w:ascii="PT Serif" w:hAnsi="PT Serif" w:cs="Times New Roman"/>
          <w:kern w:val="0"/>
          <w:sz w:val="24"/>
          <w:szCs w:val="24"/>
        </w:rPr>
        <w:t>.</w:t>
      </w:r>
      <w:r w:rsidRPr="007B0ED6">
        <w:rPr>
          <w:rFonts w:ascii="PT Serif" w:hAnsi="PT Serif" w:cs="Times New Roman"/>
          <w:kern w:val="0"/>
          <w:sz w:val="24"/>
          <w:szCs w:val="24"/>
        </w:rPr>
        <w:t xml:space="preserve"> En Ibáñez Rivas, J., Flores Pantoja, R. y Padilla Cordero, J. (coord.), </w:t>
      </w:r>
      <w:r w:rsidRPr="007B0ED6">
        <w:rPr>
          <w:rFonts w:ascii="PT Serif" w:hAnsi="PT Serif" w:cs="Times New Roman"/>
          <w:i/>
          <w:iCs/>
          <w:kern w:val="0"/>
          <w:sz w:val="24"/>
          <w:szCs w:val="24"/>
        </w:rPr>
        <w:t>Desaparición forzada en el Sistema Interamericano de Derechos Humanos. Balance, impacto y desafíos. Colección IECEQ</w:t>
      </w:r>
      <w:r w:rsidRPr="007B0ED6">
        <w:rPr>
          <w:rFonts w:ascii="PT Serif" w:hAnsi="PT Serif" w:cs="Times New Roman"/>
          <w:kern w:val="0"/>
          <w:sz w:val="24"/>
          <w:szCs w:val="24"/>
        </w:rPr>
        <w:t xml:space="preserve"> (pp. 43-89). Instituto de Estudios Constitucionales del Estado de Querétaro. </w:t>
      </w:r>
    </w:p>
    <w:p w14:paraId="45584107" w14:textId="77777777" w:rsidR="00F279FE" w:rsidRPr="007B0ED6" w:rsidRDefault="00F279FE" w:rsidP="007B0ED6">
      <w:pPr>
        <w:spacing w:line="360" w:lineRule="auto"/>
        <w:ind w:left="720" w:hanging="720"/>
        <w:jc w:val="both"/>
        <w:rPr>
          <w:rFonts w:ascii="PT Serif" w:hAnsi="PT Serif" w:cs="Times New Roman"/>
          <w:kern w:val="0"/>
          <w:sz w:val="24"/>
          <w:szCs w:val="24"/>
          <w:lang w:val="en-US"/>
        </w:rPr>
      </w:pPr>
      <w:r w:rsidRPr="007B0ED6">
        <w:rPr>
          <w:rFonts w:ascii="PT Serif" w:hAnsi="PT Serif" w:cs="Times New Roman"/>
          <w:kern w:val="0"/>
          <w:sz w:val="24"/>
          <w:szCs w:val="24"/>
        </w:rPr>
        <w:t xml:space="preserve">Herencia Carrasco, S. (2018). El indulto de Alberto Fujimori y su afectación al proceso de transición del Perú: Una mirada desde los estándares de Naciones Unidas sobre justicia y paz y su potencial aplicación por la Corte Interamericana de Derechos Humanos. En Castillo Córdova, L. y Grández Castro, P. (coord.), </w:t>
      </w:r>
      <w:r w:rsidRPr="007B0ED6">
        <w:rPr>
          <w:rFonts w:ascii="PT Serif" w:hAnsi="PT Serif" w:cs="Times New Roman"/>
          <w:i/>
          <w:iCs/>
          <w:kern w:val="0"/>
          <w:sz w:val="24"/>
          <w:szCs w:val="24"/>
        </w:rPr>
        <w:t>El indulto y la gracia presidencial ante el Derecho constitucional y el Derecho internacional de los derechos humanos</w:t>
      </w:r>
      <w:r w:rsidRPr="007B0ED6">
        <w:rPr>
          <w:rFonts w:ascii="PT Serif" w:hAnsi="PT Serif" w:cs="Times New Roman"/>
          <w:kern w:val="0"/>
          <w:sz w:val="24"/>
          <w:szCs w:val="24"/>
        </w:rPr>
        <w:t xml:space="preserve"> (pp. 126-146). </w:t>
      </w:r>
      <w:r w:rsidRPr="007B0ED6">
        <w:rPr>
          <w:rFonts w:ascii="PT Serif" w:hAnsi="PT Serif" w:cs="Times New Roman"/>
          <w:kern w:val="0"/>
          <w:sz w:val="24"/>
          <w:szCs w:val="24"/>
          <w:lang w:val="en-US"/>
        </w:rPr>
        <w:t xml:space="preserve">Palestra. </w:t>
      </w:r>
    </w:p>
    <w:p w14:paraId="65C390CB"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lang w:val="en-US"/>
        </w:rPr>
        <w:t xml:space="preserve">Krisch, N. (2010). </w:t>
      </w:r>
      <w:r w:rsidRPr="007B0ED6">
        <w:rPr>
          <w:rFonts w:ascii="PT Serif" w:hAnsi="PT Serif" w:cs="Times New Roman"/>
          <w:i/>
          <w:iCs/>
          <w:kern w:val="0"/>
          <w:sz w:val="24"/>
          <w:szCs w:val="24"/>
          <w:lang w:val="en-US"/>
        </w:rPr>
        <w:t xml:space="preserve">Beyond Constitutionalism. The Pluralist Structure of </w:t>
      </w:r>
      <w:proofErr w:type="spellStart"/>
      <w:r w:rsidRPr="007B0ED6">
        <w:rPr>
          <w:rFonts w:ascii="PT Serif" w:hAnsi="PT Serif" w:cs="Times New Roman"/>
          <w:i/>
          <w:iCs/>
          <w:kern w:val="0"/>
          <w:sz w:val="24"/>
          <w:szCs w:val="24"/>
          <w:lang w:val="en-US"/>
        </w:rPr>
        <w:t>Postnational</w:t>
      </w:r>
      <w:proofErr w:type="spellEnd"/>
      <w:r w:rsidRPr="007B0ED6">
        <w:rPr>
          <w:rFonts w:ascii="PT Serif" w:hAnsi="PT Serif" w:cs="Times New Roman"/>
          <w:i/>
          <w:iCs/>
          <w:kern w:val="0"/>
          <w:sz w:val="24"/>
          <w:szCs w:val="24"/>
          <w:lang w:val="en-US"/>
        </w:rPr>
        <w:t xml:space="preserve"> Law</w:t>
      </w:r>
      <w:r w:rsidRPr="007B0ED6">
        <w:rPr>
          <w:rFonts w:ascii="PT Serif" w:hAnsi="PT Serif" w:cs="Times New Roman"/>
          <w:kern w:val="0"/>
          <w:sz w:val="24"/>
          <w:szCs w:val="24"/>
          <w:lang w:val="en-US"/>
        </w:rPr>
        <w:t xml:space="preserve">. </w:t>
      </w:r>
      <w:r w:rsidRPr="007B0ED6">
        <w:rPr>
          <w:rFonts w:ascii="PT Serif" w:hAnsi="PT Serif" w:cs="Times New Roman"/>
          <w:kern w:val="0"/>
          <w:sz w:val="24"/>
          <w:szCs w:val="24"/>
        </w:rPr>
        <w:t xml:space="preserve">Oxford Constitutional Theory. </w:t>
      </w:r>
    </w:p>
    <w:p w14:paraId="1A96A12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McCourt, K. y Pardavi, M. (2021). Un nuevo tribunal para los casos de derechos humanos: el Tribunal de Justicia de la Unión Europea. En Open Society Justice Initiative y el Human Rights Law Implementation Project (coord.), </w:t>
      </w:r>
      <w:r w:rsidRPr="007B0ED6">
        <w:rPr>
          <w:rFonts w:ascii="PT Serif" w:hAnsi="PT Serif" w:cs="Times New Roman"/>
          <w:i/>
          <w:iCs/>
          <w:kern w:val="0"/>
          <w:sz w:val="24"/>
          <w:szCs w:val="24"/>
        </w:rPr>
        <w:t>El Cumplimiento De Decisiones En Materia De Derechos Humanos. Reflexiones, Éxitos y Nuevos Rumbos</w:t>
      </w:r>
      <w:r w:rsidRPr="007B0ED6">
        <w:rPr>
          <w:rFonts w:ascii="PT Serif" w:hAnsi="PT Serif" w:cs="Times New Roman"/>
          <w:kern w:val="0"/>
          <w:sz w:val="24"/>
          <w:szCs w:val="24"/>
        </w:rPr>
        <w:t xml:space="preserve"> (pp. 69-76). Open Society Justice Initiative. </w:t>
      </w:r>
    </w:p>
    <w:p w14:paraId="019D4FE4" w14:textId="5D60292D" w:rsidR="002962E9" w:rsidRPr="007B0ED6" w:rsidRDefault="002962E9" w:rsidP="007B0ED6">
      <w:pPr>
        <w:spacing w:line="360" w:lineRule="auto"/>
        <w:ind w:left="720" w:hanging="720"/>
        <w:jc w:val="both"/>
        <w:rPr>
          <w:rFonts w:ascii="PT Serif" w:hAnsi="PT Serif" w:cs="Times New Roman"/>
          <w:kern w:val="0"/>
          <w:sz w:val="24"/>
          <w:szCs w:val="24"/>
        </w:rPr>
      </w:pPr>
      <w:proofErr w:type="spellStart"/>
      <w:r w:rsidRPr="007B0ED6">
        <w:rPr>
          <w:rFonts w:ascii="PT Serif" w:hAnsi="PT Serif" w:cs="Times New Roman"/>
          <w:kern w:val="0"/>
          <w:sz w:val="24"/>
          <w:szCs w:val="24"/>
          <w:lang w:val="en-US"/>
        </w:rPr>
        <w:t>Pauwelyn</w:t>
      </w:r>
      <w:proofErr w:type="spellEnd"/>
      <w:r w:rsidRPr="007B0ED6">
        <w:rPr>
          <w:rFonts w:ascii="PT Serif" w:hAnsi="PT Serif" w:cs="Times New Roman"/>
          <w:kern w:val="0"/>
          <w:sz w:val="24"/>
          <w:szCs w:val="24"/>
          <w:lang w:val="en-US"/>
        </w:rPr>
        <w:t xml:space="preserve">, J. (2013). Nico Krisch, Beyond Constitutionalism, The Pluralist Structure of </w:t>
      </w:r>
      <w:proofErr w:type="spellStart"/>
      <w:r w:rsidRPr="007B0ED6">
        <w:rPr>
          <w:rFonts w:ascii="PT Serif" w:hAnsi="PT Serif" w:cs="Times New Roman"/>
          <w:kern w:val="0"/>
          <w:sz w:val="24"/>
          <w:szCs w:val="24"/>
          <w:lang w:val="en-US"/>
        </w:rPr>
        <w:t>Postnational</w:t>
      </w:r>
      <w:proofErr w:type="spellEnd"/>
      <w:r w:rsidRPr="007B0ED6">
        <w:rPr>
          <w:rFonts w:ascii="PT Serif" w:hAnsi="PT Serif" w:cs="Times New Roman"/>
          <w:kern w:val="0"/>
          <w:sz w:val="24"/>
          <w:szCs w:val="24"/>
          <w:lang w:val="en-US"/>
        </w:rPr>
        <w:t xml:space="preserve"> Law. En Herrman, C., Krajewski, M. y Philipp, J. (Ed.), </w:t>
      </w:r>
      <w:r w:rsidRPr="007B0ED6">
        <w:rPr>
          <w:rFonts w:ascii="PT Serif" w:hAnsi="PT Serif" w:cs="Times New Roman"/>
          <w:i/>
          <w:iCs/>
          <w:kern w:val="0"/>
          <w:sz w:val="24"/>
          <w:szCs w:val="24"/>
          <w:lang w:val="en-US"/>
        </w:rPr>
        <w:t>European Yearbook of International Economic Law</w:t>
      </w:r>
      <w:r w:rsidRPr="007B0ED6">
        <w:rPr>
          <w:rFonts w:ascii="PT Serif" w:hAnsi="PT Serif" w:cs="Times New Roman"/>
          <w:kern w:val="0"/>
          <w:sz w:val="24"/>
          <w:szCs w:val="24"/>
          <w:lang w:val="en-US"/>
        </w:rPr>
        <w:t xml:space="preserve"> (pp. 575-581). </w:t>
      </w:r>
      <w:r w:rsidRPr="007B0ED6">
        <w:rPr>
          <w:rFonts w:ascii="PT Serif" w:hAnsi="PT Serif" w:cs="Times New Roman"/>
          <w:kern w:val="0"/>
          <w:sz w:val="24"/>
          <w:szCs w:val="24"/>
        </w:rPr>
        <w:t xml:space="preserve">Springer. </w:t>
      </w:r>
    </w:p>
    <w:p w14:paraId="1FB0194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Ramírez Lavalle, V. (2015). El Derecho Internacional, la soberanía de las naciones y las garantías individuales ante la permanencia de la seguridad nacional. En </w:t>
      </w:r>
      <w:r w:rsidRPr="007B0ED6">
        <w:rPr>
          <w:rFonts w:ascii="PT Serif" w:hAnsi="PT Serif" w:cs="Times New Roman"/>
          <w:kern w:val="0"/>
          <w:sz w:val="24"/>
          <w:szCs w:val="24"/>
        </w:rPr>
        <w:lastRenderedPageBreak/>
        <w:t xml:space="preserve">Herminda del Llano, C. (coord.), </w:t>
      </w:r>
      <w:r w:rsidRPr="007B0ED6">
        <w:rPr>
          <w:rFonts w:ascii="PT Serif" w:hAnsi="PT Serif" w:cs="Times New Roman"/>
          <w:i/>
          <w:iCs/>
          <w:kern w:val="0"/>
          <w:sz w:val="24"/>
          <w:szCs w:val="24"/>
        </w:rPr>
        <w:t>Nuevos Derechos y Nuevas Libertades en Europa</w:t>
      </w:r>
      <w:r w:rsidRPr="007B0ED6">
        <w:rPr>
          <w:rFonts w:ascii="PT Serif" w:hAnsi="PT Serif" w:cs="Times New Roman"/>
          <w:kern w:val="0"/>
          <w:sz w:val="24"/>
          <w:szCs w:val="24"/>
        </w:rPr>
        <w:t xml:space="preserve"> (pp. 69-76). Dykinson S.L. </w:t>
      </w:r>
    </w:p>
    <w:p w14:paraId="41C570CF"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Rojas Caballero, A. (2015). </w:t>
      </w:r>
      <w:r w:rsidRPr="007B0ED6">
        <w:rPr>
          <w:rFonts w:ascii="PT Serif" w:hAnsi="PT Serif" w:cs="Times New Roman"/>
          <w:i/>
          <w:iCs/>
          <w:kern w:val="0"/>
          <w:sz w:val="24"/>
          <w:szCs w:val="24"/>
        </w:rPr>
        <w:t>El Control Difuso y la Recepción del Control de Convencionalidad en Materia de Derechos Humanos en México</w:t>
      </w:r>
      <w:r w:rsidRPr="007B0ED6">
        <w:rPr>
          <w:rFonts w:ascii="PT Serif" w:hAnsi="PT Serif" w:cs="Times New Roman"/>
          <w:kern w:val="0"/>
          <w:sz w:val="24"/>
          <w:szCs w:val="24"/>
        </w:rPr>
        <w:t xml:space="preserve">. Editorial Porrúa. </w:t>
      </w:r>
    </w:p>
    <w:p w14:paraId="071E06BB" w14:textId="5A4AA4B6" w:rsidR="00F279FE" w:rsidRPr="007B0ED6" w:rsidRDefault="00F279FE" w:rsidP="007B0ED6">
      <w:pPr>
        <w:pStyle w:val="Prrafodelista"/>
        <w:numPr>
          <w:ilvl w:val="0"/>
          <w:numId w:val="27"/>
        </w:numPr>
        <w:spacing w:line="360" w:lineRule="auto"/>
        <w:contextualSpacing w:val="0"/>
        <w:jc w:val="both"/>
        <w:rPr>
          <w:rFonts w:ascii="PT Serif" w:hAnsi="PT Serif" w:cs="Times New Roman"/>
          <w:i/>
          <w:iCs/>
          <w:kern w:val="0"/>
          <w:sz w:val="24"/>
          <w:szCs w:val="24"/>
        </w:rPr>
      </w:pPr>
      <w:r w:rsidRPr="007B0ED6">
        <w:rPr>
          <w:rFonts w:ascii="PT Serif" w:hAnsi="PT Serif" w:cs="Times New Roman"/>
          <w:i/>
          <w:iCs/>
          <w:kern w:val="0"/>
          <w:sz w:val="24"/>
          <w:szCs w:val="24"/>
        </w:rPr>
        <w:t xml:space="preserve">REVISTAS </w:t>
      </w:r>
    </w:p>
    <w:p w14:paraId="5C92E550" w14:textId="7C25298D" w:rsidR="009E5EE5" w:rsidRPr="007B0ED6" w:rsidRDefault="009E5EE5"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Barrera Santana, L. (201</w:t>
      </w:r>
      <w:r w:rsidR="002C6E08" w:rsidRPr="007B0ED6">
        <w:rPr>
          <w:rFonts w:ascii="PT Serif" w:hAnsi="PT Serif" w:cs="Times New Roman"/>
          <w:kern w:val="0"/>
          <w:sz w:val="24"/>
          <w:szCs w:val="24"/>
        </w:rPr>
        <w:t>8</w:t>
      </w:r>
      <w:r w:rsidRPr="007B0ED6">
        <w:rPr>
          <w:rFonts w:ascii="PT Serif" w:hAnsi="PT Serif" w:cs="Times New Roman"/>
          <w:kern w:val="0"/>
          <w:sz w:val="24"/>
          <w:szCs w:val="24"/>
        </w:rPr>
        <w:t xml:space="preserve">). </w:t>
      </w:r>
      <w:r w:rsidR="002C6E08" w:rsidRPr="007B0ED6">
        <w:rPr>
          <w:rFonts w:ascii="PT Serif" w:hAnsi="PT Serif" w:cs="Times New Roman"/>
          <w:kern w:val="0"/>
          <w:sz w:val="24"/>
          <w:szCs w:val="24"/>
        </w:rPr>
        <w:t xml:space="preserve">Supervisión de cumplimiento de sentencias de la Corte Interamericana de Derechos Humanos. </w:t>
      </w:r>
      <w:r w:rsidR="002C6E08" w:rsidRPr="007B0ED6">
        <w:rPr>
          <w:rFonts w:ascii="PT Serif" w:hAnsi="PT Serif" w:cs="Times New Roman"/>
          <w:i/>
          <w:iCs/>
          <w:kern w:val="0"/>
          <w:sz w:val="24"/>
          <w:szCs w:val="24"/>
        </w:rPr>
        <w:t>Anuario de Derecho Constitucional Latinoamericano</w:t>
      </w:r>
      <w:r w:rsidR="002C6E08" w:rsidRPr="007B0ED6">
        <w:rPr>
          <w:rFonts w:ascii="PT Serif" w:hAnsi="PT Serif" w:cs="Times New Roman"/>
          <w:kern w:val="0"/>
          <w:sz w:val="24"/>
          <w:szCs w:val="24"/>
        </w:rPr>
        <w:t xml:space="preserve">, (24), 363-387. </w:t>
      </w:r>
    </w:p>
    <w:p w14:paraId="1B3F4A3E" w14:textId="3E6FA828"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Castañeda Otsu, S. (2019).  Problemática en la ejecución de sentencias de la Corte Interamericana de Derechos Humanos. El caso peruano. </w:t>
      </w:r>
      <w:r w:rsidRPr="007B0ED6">
        <w:rPr>
          <w:rFonts w:ascii="PT Serif" w:hAnsi="PT Serif" w:cs="Times New Roman"/>
          <w:i/>
          <w:iCs/>
          <w:kern w:val="0"/>
          <w:sz w:val="24"/>
          <w:szCs w:val="24"/>
        </w:rPr>
        <w:t>Revista De Derecho</w:t>
      </w:r>
      <w:r w:rsidRPr="007B0ED6">
        <w:rPr>
          <w:rFonts w:ascii="PT Serif" w:hAnsi="PT Serif" w:cs="Times New Roman"/>
          <w:kern w:val="0"/>
          <w:sz w:val="24"/>
          <w:szCs w:val="24"/>
        </w:rPr>
        <w:t>, </w:t>
      </w:r>
      <w:r w:rsidRPr="007B0ED6">
        <w:rPr>
          <w:rFonts w:ascii="PT Serif" w:hAnsi="PT Serif" w:cs="Times New Roman"/>
          <w:i/>
          <w:iCs/>
          <w:kern w:val="0"/>
          <w:sz w:val="24"/>
          <w:szCs w:val="24"/>
        </w:rPr>
        <w:t>15</w:t>
      </w:r>
      <w:r w:rsidRPr="007B0ED6">
        <w:rPr>
          <w:rFonts w:ascii="PT Serif" w:hAnsi="PT Serif" w:cs="Times New Roman"/>
          <w:kern w:val="0"/>
          <w:sz w:val="24"/>
          <w:szCs w:val="24"/>
        </w:rPr>
        <w:t xml:space="preserve">(1), 11–38. </w:t>
      </w:r>
    </w:p>
    <w:p w14:paraId="660FE5EB"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Delacroix, D. (2020). La presencia de la ausencia. Hacia una antropología de la vida póstuma de los desparecidos en el Perú. </w:t>
      </w:r>
      <w:r w:rsidRPr="007B0ED6">
        <w:rPr>
          <w:rFonts w:ascii="PT Serif" w:hAnsi="PT Serif" w:cs="Times New Roman"/>
          <w:i/>
          <w:iCs/>
          <w:kern w:val="0"/>
          <w:sz w:val="24"/>
          <w:szCs w:val="24"/>
        </w:rPr>
        <w:t>Íconos. Revista de Ciencias Sociales</w:t>
      </w:r>
      <w:r w:rsidRPr="007B0ED6">
        <w:rPr>
          <w:rFonts w:ascii="PT Serif" w:hAnsi="PT Serif" w:cs="Times New Roman"/>
          <w:kern w:val="0"/>
          <w:sz w:val="24"/>
          <w:szCs w:val="24"/>
        </w:rPr>
        <w:t>, (67), 61-74. https://doi.org/10.17141/iconos.67.2020.4141</w:t>
      </w:r>
    </w:p>
    <w:p w14:paraId="0AF44775"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Ferrer Mac-Gregor, E. (2014). Las siete principales líneas jurisprudenciales de la Corte Interamericana de Derechos Humanos aplicable a la justicia penal. </w:t>
      </w:r>
      <w:r w:rsidRPr="007B0ED6">
        <w:rPr>
          <w:rFonts w:ascii="PT Serif" w:hAnsi="PT Serif" w:cs="Times New Roman"/>
          <w:i/>
          <w:iCs/>
          <w:kern w:val="0"/>
          <w:sz w:val="24"/>
          <w:szCs w:val="24"/>
        </w:rPr>
        <w:t>Revista IIDH</w:t>
      </w:r>
      <w:r w:rsidRPr="007B0ED6">
        <w:rPr>
          <w:rFonts w:ascii="PT Serif" w:hAnsi="PT Serif" w:cs="Times New Roman"/>
          <w:kern w:val="0"/>
          <w:sz w:val="24"/>
          <w:szCs w:val="24"/>
        </w:rPr>
        <w:t xml:space="preserve">, (59), 29-118. </w:t>
      </w:r>
    </w:p>
    <w:p w14:paraId="58661A3C"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Góngora Maas, J. (2015). La reforma al artículo 57 del Código de Justicia Militar a la luz de los estándares de la Corte Interamericana de Derechos Humanos sobre jurisdicción militar. </w:t>
      </w:r>
      <w:r w:rsidRPr="007B0ED6">
        <w:rPr>
          <w:rFonts w:ascii="PT Serif" w:hAnsi="PT Serif" w:cs="Times New Roman"/>
          <w:i/>
          <w:iCs/>
          <w:kern w:val="0"/>
          <w:sz w:val="24"/>
          <w:szCs w:val="24"/>
        </w:rPr>
        <w:t>Boletín mexicano de derecho comparado</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48</w:t>
      </w:r>
      <w:r w:rsidRPr="007B0ED6">
        <w:rPr>
          <w:rFonts w:ascii="PT Serif" w:hAnsi="PT Serif" w:cs="Times New Roman"/>
          <w:kern w:val="0"/>
          <w:sz w:val="24"/>
          <w:szCs w:val="24"/>
        </w:rPr>
        <w:t>(144), 1253-1270.</w:t>
      </w:r>
    </w:p>
    <w:p w14:paraId="60095B9E"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Gravante, T. (2018). Desaparición forzada y trauma cultural en México: el movimiento de Ayotzinapa. </w:t>
      </w:r>
      <w:r w:rsidRPr="007B0ED6">
        <w:rPr>
          <w:rFonts w:ascii="PT Serif" w:hAnsi="PT Serif" w:cs="Times New Roman"/>
          <w:i/>
          <w:iCs/>
          <w:kern w:val="0"/>
          <w:sz w:val="24"/>
          <w:szCs w:val="24"/>
        </w:rPr>
        <w:t>CONVERGENCIA Revista de Ciencias Sociales</w:t>
      </w:r>
      <w:r w:rsidRPr="007B0ED6">
        <w:rPr>
          <w:rFonts w:ascii="PT Serif" w:hAnsi="PT Serif" w:cs="Times New Roman"/>
          <w:kern w:val="0"/>
          <w:sz w:val="24"/>
          <w:szCs w:val="24"/>
        </w:rPr>
        <w:t xml:space="preserve">, (2), 13-28. </w:t>
      </w:r>
    </w:p>
    <w:p w14:paraId="620CA4D9"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Lara, A. y Rodríguez, G. (2024). Cuerpo ausente, el impacto de la desaparición forzada en México. </w:t>
      </w:r>
      <w:r w:rsidRPr="007B0ED6">
        <w:rPr>
          <w:rFonts w:ascii="PT Serif" w:hAnsi="PT Serif" w:cs="Times New Roman"/>
          <w:i/>
          <w:iCs/>
          <w:kern w:val="0"/>
          <w:sz w:val="24"/>
          <w:szCs w:val="24"/>
        </w:rPr>
        <w:t>Espiral</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31</w:t>
      </w:r>
      <w:r w:rsidRPr="007B0ED6">
        <w:rPr>
          <w:rFonts w:ascii="PT Serif" w:hAnsi="PT Serif" w:cs="Times New Roman"/>
          <w:kern w:val="0"/>
          <w:sz w:val="24"/>
          <w:szCs w:val="24"/>
        </w:rPr>
        <w:t xml:space="preserve">(90), 89-120. </w:t>
      </w:r>
    </w:p>
    <w:p w14:paraId="1A1CFA9E"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Lengua Parra, A. y Mendoza, A. (2015). Un pendiente que no desaparece: la necesidad de implementar una política de búsqueda de las personas desaparecidas a partir del establecimiento de un organismo centralizado en el Estado peruano. </w:t>
      </w:r>
      <w:r w:rsidRPr="007B0ED6">
        <w:rPr>
          <w:rFonts w:ascii="PT Serif" w:hAnsi="PT Serif" w:cs="Times New Roman"/>
          <w:i/>
          <w:iCs/>
          <w:kern w:val="0"/>
          <w:sz w:val="24"/>
          <w:szCs w:val="24"/>
        </w:rPr>
        <w:t>THEMIS Revista de Derecho</w:t>
      </w:r>
      <w:r w:rsidRPr="007B0ED6">
        <w:rPr>
          <w:rFonts w:ascii="PT Serif" w:hAnsi="PT Serif" w:cs="Times New Roman"/>
          <w:kern w:val="0"/>
          <w:sz w:val="24"/>
          <w:szCs w:val="24"/>
        </w:rPr>
        <w:t>, (68), 279-289. https://revistas.pucp.edu.pe/index.php/themis/article/view/15599</w:t>
      </w:r>
    </w:p>
    <w:p w14:paraId="64C73472"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López Serrano, O. R. (2019). Cumplimiento y ejecución de las sentencias de la Corte Interamericana de Derechos Humanos: Algunas reflexiones a partir del proceso de reforma en el Sistema Europeo de Derechos Humanos. </w:t>
      </w:r>
      <w:r w:rsidRPr="007B0ED6">
        <w:rPr>
          <w:rFonts w:ascii="PT Serif" w:hAnsi="PT Serif" w:cs="Times New Roman"/>
          <w:i/>
          <w:iCs/>
          <w:kern w:val="0"/>
          <w:sz w:val="24"/>
          <w:szCs w:val="24"/>
        </w:rPr>
        <w:t>Anuario De Derechos Humanos</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15</w:t>
      </w:r>
      <w:r w:rsidRPr="007B0ED6">
        <w:rPr>
          <w:rFonts w:ascii="PT Serif" w:hAnsi="PT Serif" w:cs="Times New Roman"/>
          <w:kern w:val="0"/>
          <w:sz w:val="24"/>
          <w:szCs w:val="24"/>
        </w:rPr>
        <w:t>(2), 213-235. https://doi.org/10.5354/0718-2279.2019.50455</w:t>
      </w:r>
    </w:p>
    <w:p w14:paraId="4933EA55" w14:textId="77777777" w:rsidR="00BC1B8E" w:rsidRPr="007B0ED6" w:rsidRDefault="00BC1B8E" w:rsidP="007B0ED6">
      <w:pPr>
        <w:spacing w:line="360" w:lineRule="auto"/>
        <w:ind w:left="720" w:hanging="720"/>
        <w:jc w:val="both"/>
        <w:rPr>
          <w:rFonts w:ascii="PT Serif" w:hAnsi="PT Serif" w:cs="Times New Roman"/>
          <w:kern w:val="0"/>
          <w:sz w:val="24"/>
          <w:szCs w:val="24"/>
          <w:u w:val="single"/>
        </w:rPr>
      </w:pPr>
      <w:r w:rsidRPr="007B0ED6">
        <w:rPr>
          <w:rFonts w:ascii="PT Serif" w:hAnsi="PT Serif" w:cs="Times New Roman"/>
          <w:kern w:val="0"/>
          <w:sz w:val="24"/>
          <w:szCs w:val="24"/>
        </w:rPr>
        <w:t xml:space="preserve">Mireles, V., Martínez Sánchez, M., Yankelevich Winocur, J. y Sánchez Nateras, G. (2021). Buscando a los desaparecidos de la “guerra sucia”: ontologías computacionales y la búsqueda de verdad. </w:t>
      </w:r>
      <w:r w:rsidRPr="007B0ED6">
        <w:rPr>
          <w:rFonts w:ascii="PT Serif" w:hAnsi="PT Serif" w:cs="Times New Roman"/>
          <w:i/>
          <w:iCs/>
          <w:kern w:val="0"/>
          <w:sz w:val="24"/>
          <w:szCs w:val="24"/>
        </w:rPr>
        <w:t>Iberoforum Revista de Ciencias Sociales</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1</w:t>
      </w:r>
      <w:r w:rsidRPr="007B0ED6">
        <w:rPr>
          <w:rFonts w:ascii="PT Serif" w:hAnsi="PT Serif" w:cs="Times New Roman"/>
          <w:kern w:val="0"/>
          <w:sz w:val="24"/>
          <w:szCs w:val="24"/>
        </w:rPr>
        <w:t>(1), 1-40. https://doi.org/10.48102/if.2021.v1.n1.149</w:t>
      </w:r>
    </w:p>
    <w:p w14:paraId="67B18E73"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Robledo Silvestre, C. (2016). Genealogía e historia no resuelta de la desaparición forzada en México. </w:t>
      </w:r>
      <w:r w:rsidRPr="007B0ED6">
        <w:rPr>
          <w:rFonts w:ascii="PT Serif" w:hAnsi="PT Serif" w:cs="Times New Roman"/>
          <w:i/>
          <w:iCs/>
          <w:kern w:val="0"/>
          <w:sz w:val="24"/>
          <w:szCs w:val="24"/>
        </w:rPr>
        <w:t>Íconos - Revista De Ciencias Sociales</w:t>
      </w:r>
      <w:r w:rsidRPr="007B0ED6">
        <w:rPr>
          <w:rFonts w:ascii="PT Serif" w:hAnsi="PT Serif" w:cs="Times New Roman"/>
          <w:kern w:val="0"/>
          <w:sz w:val="24"/>
          <w:szCs w:val="24"/>
        </w:rPr>
        <w:t>, (55), 93-114. https://doi.org/10.17141/iconos.55.2016.1854</w:t>
      </w:r>
    </w:p>
    <w:p w14:paraId="21B2CE3C" w14:textId="77777777" w:rsidR="00BC1B8E" w:rsidRPr="007B0ED6" w:rsidRDefault="00BC1B8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Serranò A. (2022). El caso Fujimori: una larga contienda entre la justicia y la impunidad. </w:t>
      </w:r>
      <w:r w:rsidRPr="007B0ED6">
        <w:rPr>
          <w:rFonts w:ascii="PT Serif" w:hAnsi="PT Serif" w:cs="Times New Roman"/>
          <w:i/>
          <w:iCs/>
          <w:kern w:val="0"/>
          <w:sz w:val="24"/>
          <w:szCs w:val="24"/>
        </w:rPr>
        <w:t>Revista Saber y Justicia</w:t>
      </w:r>
      <w:r w:rsidRPr="007B0ED6">
        <w:rPr>
          <w:rFonts w:ascii="PT Serif" w:hAnsi="PT Serif" w:cs="Times New Roman"/>
          <w:kern w:val="0"/>
          <w:sz w:val="24"/>
          <w:szCs w:val="24"/>
        </w:rPr>
        <w:t xml:space="preserve">, </w:t>
      </w:r>
      <w:r w:rsidRPr="007B0ED6">
        <w:rPr>
          <w:rFonts w:ascii="PT Serif" w:hAnsi="PT Serif" w:cs="Times New Roman"/>
          <w:i/>
          <w:iCs/>
          <w:kern w:val="0"/>
          <w:sz w:val="24"/>
          <w:szCs w:val="24"/>
        </w:rPr>
        <w:t>2</w:t>
      </w:r>
      <w:r w:rsidRPr="007B0ED6">
        <w:rPr>
          <w:rFonts w:ascii="PT Serif" w:hAnsi="PT Serif" w:cs="Times New Roman"/>
          <w:kern w:val="0"/>
          <w:sz w:val="24"/>
          <w:szCs w:val="24"/>
        </w:rPr>
        <w:t>(22), 106-132. https://saberyjusticia.enj.org</w:t>
      </w:r>
    </w:p>
    <w:p w14:paraId="6C72D086" w14:textId="59845C7E" w:rsidR="007C2688" w:rsidRPr="007B0ED6" w:rsidRDefault="007C2688" w:rsidP="007B0ED6">
      <w:pPr>
        <w:pStyle w:val="Prrafodelista"/>
        <w:numPr>
          <w:ilvl w:val="0"/>
          <w:numId w:val="27"/>
        </w:numPr>
        <w:spacing w:line="360" w:lineRule="auto"/>
        <w:contextualSpacing w:val="0"/>
        <w:jc w:val="both"/>
        <w:rPr>
          <w:rFonts w:ascii="PT Serif" w:hAnsi="PT Serif" w:cs="Times New Roman"/>
          <w:i/>
          <w:iCs/>
          <w:kern w:val="0"/>
          <w:sz w:val="24"/>
          <w:szCs w:val="24"/>
        </w:rPr>
      </w:pPr>
      <w:r w:rsidRPr="007B0ED6">
        <w:rPr>
          <w:rFonts w:ascii="PT Serif" w:hAnsi="PT Serif" w:cs="Times New Roman"/>
          <w:i/>
          <w:iCs/>
          <w:kern w:val="0"/>
          <w:sz w:val="24"/>
          <w:szCs w:val="24"/>
        </w:rPr>
        <w:t xml:space="preserve">TESIS </w:t>
      </w:r>
    </w:p>
    <w:p w14:paraId="652A8855" w14:textId="691EDDB4" w:rsidR="007C2688" w:rsidRPr="007B0ED6" w:rsidRDefault="007C2688"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Quintana Osuna, K. (2017). </w:t>
      </w:r>
      <w:r w:rsidRPr="007B0ED6">
        <w:rPr>
          <w:rFonts w:ascii="PT Serif" w:hAnsi="PT Serif" w:cs="Times New Roman"/>
          <w:i/>
          <w:iCs/>
          <w:kern w:val="0"/>
          <w:sz w:val="24"/>
          <w:szCs w:val="24"/>
        </w:rPr>
        <w:t xml:space="preserve">El Control de Convencionalidad: Un Estudio del Derecho Interamericano de los Derechos Humanos y del Derecho Mexicano. Retos y </w:t>
      </w:r>
      <w:r w:rsidRPr="007B0ED6">
        <w:rPr>
          <w:rFonts w:ascii="PT Serif" w:hAnsi="PT Serif" w:cs="Times New Roman"/>
          <w:i/>
          <w:iCs/>
          <w:kern w:val="0"/>
          <w:sz w:val="24"/>
          <w:szCs w:val="24"/>
        </w:rPr>
        <w:lastRenderedPageBreak/>
        <w:t>Perspectivas</w:t>
      </w:r>
      <w:r w:rsidR="003F2722" w:rsidRPr="007B0ED6">
        <w:rPr>
          <w:rFonts w:ascii="PT Serif" w:hAnsi="PT Serif" w:cs="Times New Roman"/>
          <w:kern w:val="0"/>
          <w:sz w:val="24"/>
          <w:szCs w:val="24"/>
        </w:rPr>
        <w:t xml:space="preserve"> </w:t>
      </w:r>
      <w:r w:rsidRPr="007B0ED6">
        <w:rPr>
          <w:rFonts w:ascii="PT Serif" w:hAnsi="PT Serif" w:cs="Times New Roman"/>
          <w:kern w:val="0"/>
          <w:sz w:val="24"/>
          <w:szCs w:val="24"/>
        </w:rPr>
        <w:t xml:space="preserve">[Tesis de doctorado, </w:t>
      </w:r>
      <w:r w:rsidR="00CC6DC7" w:rsidRPr="007B0ED6">
        <w:rPr>
          <w:rFonts w:ascii="PT Serif" w:hAnsi="PT Serif" w:cs="Times New Roman"/>
          <w:kern w:val="0"/>
          <w:sz w:val="24"/>
          <w:szCs w:val="24"/>
        </w:rPr>
        <w:t xml:space="preserve">Universidad </w:t>
      </w:r>
      <w:r w:rsidR="003F2722" w:rsidRPr="007B0ED6">
        <w:rPr>
          <w:rFonts w:ascii="PT Serif" w:hAnsi="PT Serif" w:cs="Times New Roman"/>
          <w:kern w:val="0"/>
          <w:sz w:val="24"/>
          <w:szCs w:val="24"/>
        </w:rPr>
        <w:t xml:space="preserve">Nacional </w:t>
      </w:r>
      <w:r w:rsidR="00CC6DC7" w:rsidRPr="007B0ED6">
        <w:rPr>
          <w:rFonts w:ascii="PT Serif" w:hAnsi="PT Serif" w:cs="Times New Roman"/>
          <w:kern w:val="0"/>
          <w:sz w:val="24"/>
          <w:szCs w:val="24"/>
        </w:rPr>
        <w:t>Autónoma de México]. https://www.corteidh.or.cr/tablas/r39359.pdf</w:t>
      </w:r>
    </w:p>
    <w:p w14:paraId="40991A50" w14:textId="5F7F35C8" w:rsidR="00F279FE" w:rsidRPr="007B0ED6" w:rsidRDefault="00F279FE" w:rsidP="007B0ED6">
      <w:pPr>
        <w:pStyle w:val="Prrafodelista"/>
        <w:numPr>
          <w:ilvl w:val="0"/>
          <w:numId w:val="27"/>
        </w:numPr>
        <w:spacing w:line="360" w:lineRule="auto"/>
        <w:contextualSpacing w:val="0"/>
        <w:jc w:val="both"/>
        <w:rPr>
          <w:rFonts w:ascii="PT Serif" w:hAnsi="PT Serif" w:cs="Times New Roman"/>
          <w:i/>
          <w:iCs/>
          <w:kern w:val="0"/>
          <w:sz w:val="24"/>
          <w:szCs w:val="24"/>
        </w:rPr>
      </w:pPr>
      <w:r w:rsidRPr="007B0ED6">
        <w:rPr>
          <w:rFonts w:ascii="PT Serif" w:hAnsi="PT Serif" w:cs="Times New Roman"/>
          <w:i/>
          <w:iCs/>
          <w:kern w:val="0"/>
          <w:sz w:val="24"/>
          <w:szCs w:val="24"/>
        </w:rPr>
        <w:t xml:space="preserve">ELECTRÓNICAS </w:t>
      </w:r>
    </w:p>
    <w:p w14:paraId="6F68B72D" w14:textId="77777777" w:rsidR="00F279FE" w:rsidRPr="007B0ED6" w:rsidRDefault="00F279FE" w:rsidP="007B0ED6">
      <w:pPr>
        <w:spacing w:line="360" w:lineRule="auto"/>
        <w:ind w:left="720" w:hanging="720"/>
        <w:jc w:val="both"/>
        <w:rPr>
          <w:rFonts w:ascii="PT Serif" w:hAnsi="PT Serif" w:cs="Times New Roman"/>
          <w:kern w:val="0"/>
          <w:sz w:val="24"/>
          <w:szCs w:val="24"/>
          <w:u w:val="single"/>
        </w:rPr>
      </w:pPr>
      <w:r w:rsidRPr="007B0ED6">
        <w:rPr>
          <w:rFonts w:ascii="PT Serif" w:hAnsi="PT Serif" w:cs="Times New Roman"/>
          <w:kern w:val="0"/>
          <w:sz w:val="24"/>
          <w:szCs w:val="24"/>
        </w:rPr>
        <w:t xml:space="preserve">Centro por la Justicia y el Derecho Internacional. (2013). </w:t>
      </w:r>
      <w:r w:rsidRPr="007B0ED6">
        <w:rPr>
          <w:rFonts w:ascii="PT Serif" w:hAnsi="PT Serif" w:cs="Times New Roman"/>
          <w:i/>
          <w:iCs/>
          <w:kern w:val="0"/>
          <w:sz w:val="24"/>
          <w:szCs w:val="24"/>
        </w:rPr>
        <w:t>Perú incumple de manera total sentencia de la Corte IDH en el Caso Anzualdo Castro v. Perú</w:t>
      </w:r>
      <w:r w:rsidRPr="007B0ED6">
        <w:rPr>
          <w:rFonts w:ascii="PT Serif" w:hAnsi="PT Serif" w:cs="Times New Roman"/>
          <w:kern w:val="0"/>
          <w:sz w:val="24"/>
          <w:szCs w:val="24"/>
        </w:rPr>
        <w:t>. https://cejil.org/comunicado-de-prensa/peru-incumple-de-manera-total-sentencia-de-la-corte-idh-en-el-caso-anzualdo-castro-v-peru/</w:t>
      </w:r>
    </w:p>
    <w:p w14:paraId="11ECD8A4" w14:textId="34781C77" w:rsidR="006B7AED" w:rsidRPr="007B0ED6" w:rsidRDefault="006B7AED"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Comité Internacional de la Cruz Roja. (29 de agosto de 2024).</w:t>
      </w:r>
      <w:r w:rsidRPr="007B0ED6">
        <w:rPr>
          <w:rFonts w:ascii="PT Serif" w:eastAsia="Times New Roman" w:hAnsi="PT Serif" w:cs="Noto Serif"/>
          <w:color w:val="262626"/>
          <w:kern w:val="36"/>
          <w:sz w:val="24"/>
          <w:szCs w:val="24"/>
          <w:lang w:eastAsia="ja-JP"/>
          <w14:ligatures w14:val="none"/>
        </w:rPr>
        <w:t xml:space="preserve"> </w:t>
      </w:r>
      <w:r w:rsidRPr="007B0ED6">
        <w:rPr>
          <w:rFonts w:ascii="PT Serif" w:hAnsi="PT Serif" w:cs="Times New Roman"/>
          <w:i/>
          <w:iCs/>
          <w:kern w:val="0"/>
          <w:sz w:val="24"/>
          <w:szCs w:val="24"/>
        </w:rPr>
        <w:t>Día Internacional de las Personas Desaparecidas 2024: el reto de una acción coordinada en América Latina.</w:t>
      </w:r>
      <w:r w:rsidRPr="007B0ED6">
        <w:rPr>
          <w:rFonts w:ascii="PT Serif" w:hAnsi="PT Serif" w:cs="Times New Roman"/>
          <w:kern w:val="0"/>
          <w:sz w:val="24"/>
          <w:szCs w:val="24"/>
        </w:rPr>
        <w:t xml:space="preserve"> https://www.icrc.org/es/news-release/dia-internacional-personas-desaparecidas-2024-reto-accion-coordinada-america-latina#:~:text</w:t>
      </w:r>
    </w:p>
    <w:p w14:paraId="1F48216D" w14:textId="08A08A78"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Comisión Interamericana de Derechos Humanos (8 de diciembre de 2023). </w:t>
      </w:r>
      <w:r w:rsidRPr="007B0ED6">
        <w:rPr>
          <w:rFonts w:ascii="PT Serif" w:hAnsi="PT Serif" w:cs="Times New Roman"/>
          <w:i/>
          <w:iCs/>
          <w:kern w:val="0"/>
          <w:sz w:val="24"/>
          <w:szCs w:val="24"/>
        </w:rPr>
        <w:t>CIDH rechaza decisión del Tribunal Constitucional de Perú que implementó el indulto de Alberto Fujimori</w:t>
      </w:r>
      <w:r w:rsidRPr="007B0ED6">
        <w:rPr>
          <w:rFonts w:ascii="PT Serif" w:hAnsi="PT Serif" w:cs="Times New Roman"/>
          <w:kern w:val="0"/>
          <w:sz w:val="24"/>
          <w:szCs w:val="24"/>
        </w:rPr>
        <w:t>. https://www.oas.org/es/CIDH/jsForm/?File=/es/cidh/prensa/comunicados/2023/281.asp</w:t>
      </w:r>
    </w:p>
    <w:p w14:paraId="2D37119D"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Guillén, B. (13 de diciembre de 2024). </w:t>
      </w:r>
      <w:r w:rsidRPr="007B0ED6">
        <w:rPr>
          <w:rFonts w:ascii="PT Serif" w:hAnsi="PT Serif" w:cs="Times New Roman"/>
          <w:i/>
          <w:iCs/>
          <w:kern w:val="0"/>
          <w:sz w:val="24"/>
          <w:szCs w:val="24"/>
        </w:rPr>
        <w:t>25 años después, fue el Estado: la Corte Interamericana condena a México por la desaparición del zapatista Antonio González</w:t>
      </w:r>
      <w:r w:rsidRPr="007B0ED6">
        <w:rPr>
          <w:rFonts w:ascii="PT Serif" w:hAnsi="PT Serif" w:cs="Times New Roman"/>
          <w:kern w:val="0"/>
          <w:sz w:val="24"/>
          <w:szCs w:val="24"/>
        </w:rPr>
        <w:t>. https://elpais.com/mexico/2024-12-14/25-anos-despues-fue-el-estado-la-corte-interamericana-condena-a-mexico-por-la-desaparicion-del-zapatista-antonio-gonzalez.html</w:t>
      </w:r>
    </w:p>
    <w:p w14:paraId="34AB84A9" w14:textId="77777777" w:rsidR="00F279FE" w:rsidRPr="007B0ED6" w:rsidRDefault="00F279FE" w:rsidP="007B0ED6">
      <w:pPr>
        <w:spacing w:line="360" w:lineRule="auto"/>
        <w:ind w:left="720" w:hanging="720"/>
        <w:jc w:val="both"/>
        <w:rPr>
          <w:rFonts w:ascii="PT Serif" w:hAnsi="PT Serif" w:cs="Times New Roman"/>
          <w:kern w:val="0"/>
          <w:sz w:val="24"/>
          <w:szCs w:val="24"/>
          <w:u w:val="single"/>
        </w:rPr>
      </w:pPr>
      <w:r w:rsidRPr="007B0ED6">
        <w:rPr>
          <w:rFonts w:ascii="PT Serif" w:hAnsi="PT Serif" w:cs="Times New Roman"/>
          <w:kern w:val="0"/>
          <w:sz w:val="24"/>
          <w:szCs w:val="24"/>
        </w:rPr>
        <w:t xml:space="preserve">Koskenniemi, M. (2006). </w:t>
      </w:r>
      <w:r w:rsidRPr="007B0ED6">
        <w:rPr>
          <w:rFonts w:ascii="PT Serif" w:hAnsi="PT Serif" w:cs="Times New Roman"/>
          <w:i/>
          <w:iCs/>
          <w:kern w:val="0"/>
          <w:sz w:val="24"/>
          <w:szCs w:val="24"/>
        </w:rPr>
        <w:t>Fragmentación del Derecho Internacional: Dificultades Derivadas de la Diversificación y Expansión del Derecho Internacional</w:t>
      </w:r>
      <w:r w:rsidRPr="007B0ED6">
        <w:rPr>
          <w:rFonts w:ascii="PT Serif" w:hAnsi="PT Serif" w:cs="Times New Roman"/>
          <w:kern w:val="0"/>
          <w:sz w:val="24"/>
          <w:szCs w:val="24"/>
        </w:rPr>
        <w:t>. [Archivo PDF]. https://legal.un.org/ilc/documentation/spanish/a_cn4_l682.pdf</w:t>
      </w:r>
    </w:p>
    <w:p w14:paraId="330D0BF4"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Pérez-Laurrabaquio, O. (febrero de 2023). </w:t>
      </w:r>
      <w:r w:rsidRPr="007B0ED6">
        <w:rPr>
          <w:rFonts w:ascii="PT Serif" w:hAnsi="PT Serif" w:cs="Times New Roman"/>
          <w:i/>
          <w:iCs/>
          <w:kern w:val="0"/>
          <w:sz w:val="24"/>
          <w:szCs w:val="24"/>
        </w:rPr>
        <w:t>Acercamiento estadístico a la desaparición de personas en México: guerra sucia y guerra contra el narcotráfico</w:t>
      </w:r>
      <w:r w:rsidRPr="007B0ED6">
        <w:rPr>
          <w:rFonts w:ascii="PT Serif" w:hAnsi="PT Serif" w:cs="Times New Roman"/>
          <w:kern w:val="0"/>
          <w:sz w:val="24"/>
          <w:szCs w:val="24"/>
        </w:rPr>
        <w:t>. https://datos.nexos.com.mx/acercamiento-estadistico-a-la-desaparicion-de-personas-en-mexico-guerra-sucia-y-guerra-contra-el-narcotrafico/</w:t>
      </w:r>
    </w:p>
    <w:p w14:paraId="16907133" w14:textId="77777777" w:rsidR="00F279FE" w:rsidRPr="007B0ED6" w:rsidRDefault="00F279FE" w:rsidP="007B0ED6">
      <w:pPr>
        <w:spacing w:line="360" w:lineRule="auto"/>
        <w:ind w:left="720" w:hanging="720"/>
        <w:jc w:val="both"/>
        <w:rPr>
          <w:rFonts w:ascii="PT Serif" w:hAnsi="PT Serif" w:cs="Times New Roman"/>
          <w:kern w:val="0"/>
          <w:sz w:val="24"/>
          <w:szCs w:val="24"/>
          <w:u w:val="single"/>
        </w:rPr>
      </w:pPr>
      <w:r w:rsidRPr="007B0ED6">
        <w:rPr>
          <w:rFonts w:ascii="PT Serif" w:hAnsi="PT Serif" w:cs="Times New Roman"/>
          <w:kern w:val="0"/>
          <w:sz w:val="24"/>
          <w:szCs w:val="24"/>
        </w:rPr>
        <w:t xml:space="preserve">Registro Nacional de Personas Desaparecidas y No Localizadas. (20 de febrero de 2025). </w:t>
      </w:r>
      <w:r w:rsidRPr="007B0ED6">
        <w:rPr>
          <w:rFonts w:ascii="PT Serif" w:hAnsi="PT Serif" w:cs="Times New Roman"/>
          <w:i/>
          <w:iCs/>
          <w:kern w:val="0"/>
          <w:sz w:val="24"/>
          <w:szCs w:val="24"/>
        </w:rPr>
        <w:t>Versión Estadística RNPDNO</w:t>
      </w:r>
      <w:r w:rsidRPr="007B0ED6">
        <w:rPr>
          <w:rFonts w:ascii="PT Serif" w:hAnsi="PT Serif" w:cs="Times New Roman"/>
          <w:kern w:val="0"/>
          <w:sz w:val="24"/>
          <w:szCs w:val="24"/>
        </w:rPr>
        <w:t>. https://versionpublicarnpdno.segob.gob.mx/Dashboard/ContextoGeneral</w:t>
      </w:r>
    </w:p>
    <w:p w14:paraId="00C2D7A0" w14:textId="4FBF3DB3" w:rsidR="00F279FE" w:rsidRPr="007B0ED6" w:rsidRDefault="00CC6DC7" w:rsidP="007B0ED6">
      <w:pPr>
        <w:pStyle w:val="Prrafodelista"/>
        <w:numPr>
          <w:ilvl w:val="0"/>
          <w:numId w:val="27"/>
        </w:numPr>
        <w:spacing w:line="360" w:lineRule="auto"/>
        <w:contextualSpacing w:val="0"/>
        <w:jc w:val="both"/>
        <w:rPr>
          <w:rFonts w:ascii="PT Serif" w:hAnsi="PT Serif" w:cs="Times New Roman"/>
          <w:i/>
          <w:iCs/>
          <w:kern w:val="0"/>
          <w:sz w:val="24"/>
          <w:szCs w:val="24"/>
        </w:rPr>
      </w:pPr>
      <w:r w:rsidRPr="007B0ED6">
        <w:rPr>
          <w:rFonts w:ascii="PT Serif" w:hAnsi="PT Serif" w:cs="Times New Roman"/>
          <w:i/>
          <w:iCs/>
          <w:kern w:val="0"/>
          <w:sz w:val="24"/>
          <w:szCs w:val="24"/>
        </w:rPr>
        <w:t>LEGISLACIÓN Y</w:t>
      </w:r>
      <w:r w:rsidR="00450F1B" w:rsidRPr="007B0ED6">
        <w:rPr>
          <w:rFonts w:ascii="PT Serif" w:hAnsi="PT Serif" w:cs="Times New Roman"/>
          <w:i/>
          <w:iCs/>
          <w:kern w:val="0"/>
          <w:sz w:val="24"/>
          <w:szCs w:val="24"/>
        </w:rPr>
        <w:t xml:space="preserve"> DOCUMENTOS LEGALES</w:t>
      </w:r>
    </w:p>
    <w:p w14:paraId="150549A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Constitución Política de los Estados Unidos Mexicanos. 5 de febrero de 1917. D.O.F.</w:t>
      </w:r>
    </w:p>
    <w:p w14:paraId="6D8F8B85" w14:textId="23837C3F" w:rsidR="00450F1B" w:rsidRPr="007B0ED6" w:rsidRDefault="00450F1B"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Convención de Viena sobre el derecho de los tratados. 23 de mayo de 1969. </w:t>
      </w:r>
    </w:p>
    <w:p w14:paraId="06E63F91"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Convención Interamericana sobre Desaparición Forzada de Personas. 9 de junio de 1994. </w:t>
      </w:r>
    </w:p>
    <w:p w14:paraId="4A21593E"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Iniciativa del Ejecutivo Federal con proyecto de decreto, por el que se reforman y adicionan diversos artículos de la Constitución Política de los Estados Unidos Mexicanos, en materia de Guardia Nacional. 5 de febrero de 2025. D.O.F. </w:t>
      </w:r>
    </w:p>
    <w:p w14:paraId="391FF997" w14:textId="0D83ABF8" w:rsidR="00450F1B" w:rsidRPr="007B0ED6" w:rsidRDefault="00450F1B"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Tratado de la Unión Europea. 7 de febrero de 1992. </w:t>
      </w:r>
    </w:p>
    <w:p w14:paraId="4A46D60F" w14:textId="24D4ABF5" w:rsidR="00F279FE" w:rsidRPr="007B0ED6" w:rsidRDefault="00F279FE" w:rsidP="007B0ED6">
      <w:pPr>
        <w:pStyle w:val="Prrafodelista"/>
        <w:numPr>
          <w:ilvl w:val="0"/>
          <w:numId w:val="27"/>
        </w:numPr>
        <w:spacing w:line="360" w:lineRule="auto"/>
        <w:contextualSpacing w:val="0"/>
        <w:jc w:val="both"/>
        <w:rPr>
          <w:rFonts w:ascii="PT Serif" w:hAnsi="PT Serif" w:cs="Times New Roman"/>
          <w:i/>
          <w:iCs/>
          <w:kern w:val="0"/>
          <w:sz w:val="24"/>
          <w:szCs w:val="24"/>
        </w:rPr>
      </w:pPr>
      <w:r w:rsidRPr="007B0ED6">
        <w:rPr>
          <w:rFonts w:ascii="PT Serif" w:hAnsi="PT Serif" w:cs="Times New Roman"/>
          <w:i/>
          <w:iCs/>
          <w:kern w:val="0"/>
          <w:sz w:val="24"/>
          <w:szCs w:val="24"/>
        </w:rPr>
        <w:t>JURISPRUDENCIA Y RESOLUCIONES</w:t>
      </w:r>
    </w:p>
    <w:p w14:paraId="7FAF8E54"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Alvarado Espinoza y otros vs. México (Rechazo de la Solicitud de Medidas Provisionales y Supervisión de Cumplimiento de Sentencia)</w:t>
      </w:r>
      <w:r w:rsidRPr="007B0ED6">
        <w:rPr>
          <w:rFonts w:ascii="PT Serif" w:hAnsi="PT Serif" w:cs="Times New Roman"/>
          <w:kern w:val="0"/>
          <w:sz w:val="24"/>
          <w:szCs w:val="24"/>
        </w:rPr>
        <w:t>, Resolución de 27 de noviembre de 2024.</w:t>
      </w:r>
    </w:p>
    <w:p w14:paraId="0CF4247B"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Alvarado Espinoza y otros vs. México (Supervisión de Cumplimiento de Sentencia)</w:t>
      </w:r>
      <w:r w:rsidRPr="007B0ED6">
        <w:rPr>
          <w:rFonts w:ascii="PT Serif" w:hAnsi="PT Serif" w:cs="Times New Roman"/>
          <w:kern w:val="0"/>
          <w:sz w:val="24"/>
          <w:szCs w:val="24"/>
        </w:rPr>
        <w:t>, Resolución de 7 de octubre de 2019.</w:t>
      </w:r>
    </w:p>
    <w:p w14:paraId="0D282ED2"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Corte IDH, </w:t>
      </w:r>
      <w:r w:rsidRPr="007B0ED6">
        <w:rPr>
          <w:rFonts w:ascii="PT Serif" w:hAnsi="PT Serif" w:cs="Times New Roman"/>
          <w:i/>
          <w:iCs/>
          <w:kern w:val="0"/>
          <w:sz w:val="24"/>
          <w:szCs w:val="24"/>
        </w:rPr>
        <w:t>Caso Alvarado Espinoza y otros vs. México (Supervisión de Cumplimiento de Sentencia)</w:t>
      </w:r>
      <w:r w:rsidRPr="007B0ED6">
        <w:rPr>
          <w:rFonts w:ascii="PT Serif" w:hAnsi="PT Serif" w:cs="Times New Roman"/>
          <w:kern w:val="0"/>
          <w:sz w:val="24"/>
          <w:szCs w:val="24"/>
        </w:rPr>
        <w:t>, Resolución de 26 de junio de 2023.</w:t>
      </w:r>
    </w:p>
    <w:p w14:paraId="5998E13D"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Alvarado Espinoza y otros vs. México, (Solicitud de Medidas Provisionales y Supervisión de Cumplimiento de Sentencia)</w:t>
      </w:r>
      <w:r w:rsidRPr="007B0ED6">
        <w:rPr>
          <w:rFonts w:ascii="PT Serif" w:hAnsi="PT Serif" w:cs="Times New Roman"/>
          <w:kern w:val="0"/>
          <w:sz w:val="24"/>
          <w:szCs w:val="24"/>
        </w:rPr>
        <w:t xml:space="preserve">, Resolución de 27 de noviembre de 2024. </w:t>
      </w:r>
    </w:p>
    <w:p w14:paraId="5905CEC7"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Anzualdo Castro y Caso La Cantuta vs. Perú (Supervisión de Cumplimiento de Sentencia)</w:t>
      </w:r>
      <w:r w:rsidRPr="007B0ED6">
        <w:rPr>
          <w:rFonts w:ascii="PT Serif" w:hAnsi="PT Serif" w:cs="Times New Roman"/>
          <w:kern w:val="0"/>
          <w:sz w:val="24"/>
          <w:szCs w:val="24"/>
        </w:rPr>
        <w:t>, Resolución de 21 de agosto de 2013.</w:t>
      </w:r>
    </w:p>
    <w:p w14:paraId="4EDA9E87"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Barrios Altos y Caso La Cantuta vs. Perú (Medidas Provisionales y Supervisión de Cumplimiento de Sentencia)</w:t>
      </w:r>
      <w:r w:rsidRPr="007B0ED6">
        <w:rPr>
          <w:rFonts w:ascii="PT Serif" w:hAnsi="PT Serif" w:cs="Times New Roman"/>
          <w:kern w:val="0"/>
          <w:sz w:val="24"/>
          <w:szCs w:val="24"/>
        </w:rPr>
        <w:t>, Resolución de 1 de julio de 2024.</w:t>
      </w:r>
    </w:p>
    <w:p w14:paraId="34009303"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Barrios Altos y Caso La Cantuta vs. Perú (Solicitud de Medidas Provisionales y Supervisión de Cumplimiento de Sentencia)</w:t>
      </w:r>
      <w:r w:rsidRPr="007B0ED6">
        <w:rPr>
          <w:rFonts w:ascii="PT Serif" w:hAnsi="PT Serif" w:cs="Times New Roman"/>
          <w:kern w:val="0"/>
          <w:sz w:val="24"/>
          <w:szCs w:val="24"/>
        </w:rPr>
        <w:t>, Resolución de 7 de abril de 2022.</w:t>
      </w:r>
    </w:p>
    <w:p w14:paraId="15149822"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Barrios Altos y Caso La Cantuta vs. Perú (Solicitud de Medidas Provisionales y Supervisión de Cumplimiento de Sentencia)</w:t>
      </w:r>
      <w:r w:rsidRPr="007B0ED6">
        <w:rPr>
          <w:rFonts w:ascii="PT Serif" w:hAnsi="PT Serif" w:cs="Times New Roman"/>
          <w:kern w:val="0"/>
          <w:sz w:val="24"/>
          <w:szCs w:val="24"/>
        </w:rPr>
        <w:t>, Resolución de 19 de diciembre de 2023.</w:t>
      </w:r>
    </w:p>
    <w:p w14:paraId="521D131D"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Barrios Altos y Caso La Cantuta vs. Perú (Solicitud de Medidas Provisionales y Supervisión de Cumplimiento de Sentencia)</w:t>
      </w:r>
      <w:r w:rsidRPr="007B0ED6">
        <w:rPr>
          <w:rFonts w:ascii="PT Serif" w:hAnsi="PT Serif" w:cs="Times New Roman"/>
          <w:kern w:val="0"/>
          <w:sz w:val="24"/>
          <w:szCs w:val="24"/>
        </w:rPr>
        <w:t xml:space="preserve">, Resolución de 13 de junio de 2024. </w:t>
      </w:r>
    </w:p>
    <w:p w14:paraId="4073134E"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Barrios Altos y Caso La Cantuta vs. Perú (Supervisión de Cumplimiento de sentencia)</w:t>
      </w:r>
      <w:r w:rsidRPr="007B0ED6">
        <w:rPr>
          <w:rFonts w:ascii="PT Serif" w:hAnsi="PT Serif" w:cs="Times New Roman"/>
          <w:kern w:val="0"/>
          <w:sz w:val="24"/>
          <w:szCs w:val="24"/>
        </w:rPr>
        <w:t>, Resolución de 30 de mayo de 2018.</w:t>
      </w:r>
    </w:p>
    <w:p w14:paraId="5447D81B"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Castillo Páez vs Perú (Supervisión de Cumplimiento de sentencia)</w:t>
      </w:r>
      <w:r w:rsidRPr="007B0ED6">
        <w:rPr>
          <w:rFonts w:ascii="PT Serif" w:hAnsi="PT Serif" w:cs="Times New Roman"/>
          <w:kern w:val="0"/>
          <w:sz w:val="24"/>
          <w:szCs w:val="24"/>
        </w:rPr>
        <w:t xml:space="preserve">, Resolución de 27 de noviembre de 2003. </w:t>
      </w:r>
    </w:p>
    <w:p w14:paraId="633A5A0D"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Corte IDH, </w:t>
      </w:r>
      <w:r w:rsidRPr="007B0ED6">
        <w:rPr>
          <w:rFonts w:ascii="PT Serif" w:hAnsi="PT Serif" w:cs="Times New Roman"/>
          <w:i/>
          <w:iCs/>
          <w:kern w:val="0"/>
          <w:sz w:val="24"/>
          <w:szCs w:val="24"/>
        </w:rPr>
        <w:t>Caso Castillo Páez vs Perú (Supervisión de Cumplimiento de sentencia)</w:t>
      </w:r>
      <w:r w:rsidRPr="007B0ED6">
        <w:rPr>
          <w:rFonts w:ascii="PT Serif" w:hAnsi="PT Serif" w:cs="Times New Roman"/>
          <w:kern w:val="0"/>
          <w:sz w:val="24"/>
          <w:szCs w:val="24"/>
        </w:rPr>
        <w:t xml:space="preserve">, Resolución de 3 de abril de 2009. </w:t>
      </w:r>
    </w:p>
    <w:p w14:paraId="509D812F"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Castillo Páez vs. Perú, (Supervisión de cumplimiento de sentencia)</w:t>
      </w:r>
      <w:r w:rsidRPr="007B0ED6">
        <w:rPr>
          <w:rFonts w:ascii="PT Serif" w:hAnsi="PT Serif" w:cs="Times New Roman"/>
          <w:kern w:val="0"/>
          <w:sz w:val="24"/>
          <w:szCs w:val="24"/>
        </w:rPr>
        <w:t>, Resolución de 26 de noviembre de 2013.</w:t>
      </w:r>
    </w:p>
    <w:p w14:paraId="4571C775"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Comunidad Campesina de Santa Bárbara vs. Perú (Supervisión de Cumplimiento de Sentencia)</w:t>
      </w:r>
      <w:r w:rsidRPr="007B0ED6">
        <w:rPr>
          <w:rFonts w:ascii="PT Serif" w:hAnsi="PT Serif" w:cs="Times New Roman"/>
          <w:kern w:val="0"/>
          <w:sz w:val="24"/>
          <w:szCs w:val="24"/>
        </w:rPr>
        <w:t>, Resolución de 21 de junio de 2021.</w:t>
      </w:r>
    </w:p>
    <w:p w14:paraId="38FDB61C"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Durand y Ugarte (Supervisión de Cumplimiento de sentencia)</w:t>
      </w:r>
      <w:r w:rsidRPr="007B0ED6">
        <w:rPr>
          <w:rFonts w:ascii="PT Serif" w:hAnsi="PT Serif" w:cs="Times New Roman"/>
          <w:kern w:val="0"/>
          <w:sz w:val="24"/>
          <w:szCs w:val="24"/>
        </w:rPr>
        <w:t>, Resolución de 27 de noviembre de 2002.</w:t>
      </w:r>
    </w:p>
    <w:p w14:paraId="78402B82"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(Supervisión de Cumplimiento de sentencia)</w:t>
      </w:r>
      <w:r w:rsidRPr="007B0ED6">
        <w:rPr>
          <w:rFonts w:ascii="PT Serif" w:hAnsi="PT Serif" w:cs="Times New Roman"/>
          <w:kern w:val="0"/>
          <w:sz w:val="24"/>
          <w:szCs w:val="24"/>
        </w:rPr>
        <w:t xml:space="preserve">, Resolución de 18 de octubre de 2007. </w:t>
      </w:r>
    </w:p>
    <w:p w14:paraId="50D2042D"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(Supervisión de Cumplimiento de sentencia)</w:t>
      </w:r>
      <w:r w:rsidRPr="007B0ED6">
        <w:rPr>
          <w:rFonts w:ascii="PT Serif" w:hAnsi="PT Serif" w:cs="Times New Roman"/>
          <w:kern w:val="0"/>
          <w:sz w:val="24"/>
          <w:szCs w:val="24"/>
        </w:rPr>
        <w:t>, Resolución de 1 de julio de 2009.</w:t>
      </w:r>
    </w:p>
    <w:p w14:paraId="23F70632"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(Supervisión de Cumplimiento de sentencia)</w:t>
      </w:r>
      <w:r w:rsidRPr="007B0ED6">
        <w:rPr>
          <w:rFonts w:ascii="PT Serif" w:hAnsi="PT Serif" w:cs="Times New Roman"/>
          <w:kern w:val="0"/>
          <w:sz w:val="24"/>
          <w:szCs w:val="24"/>
        </w:rPr>
        <w:t>, Resolución de 21 de diciembre de 2010.</w:t>
      </w:r>
    </w:p>
    <w:p w14:paraId="56B56974"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(Supervisión de Cumplimiento de sentencia)</w:t>
      </w:r>
      <w:r w:rsidRPr="007B0ED6">
        <w:rPr>
          <w:rFonts w:ascii="PT Serif" w:hAnsi="PT Serif" w:cs="Times New Roman"/>
          <w:kern w:val="0"/>
          <w:sz w:val="24"/>
          <w:szCs w:val="24"/>
        </w:rPr>
        <w:t>, Resolución de 5 de julio de 2011.</w:t>
      </w:r>
    </w:p>
    <w:p w14:paraId="089B775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(Supervisión de Cumplimiento de sentencia)</w:t>
      </w:r>
      <w:r w:rsidRPr="007B0ED6">
        <w:rPr>
          <w:rFonts w:ascii="PT Serif" w:hAnsi="PT Serif" w:cs="Times New Roman"/>
          <w:kern w:val="0"/>
          <w:sz w:val="24"/>
          <w:szCs w:val="24"/>
        </w:rPr>
        <w:t xml:space="preserve">, Resolución de 13 de febrero de 2013. </w:t>
      </w:r>
    </w:p>
    <w:p w14:paraId="4F3CE851" w14:textId="7855B554"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Gómez Palomino vs. Perú, (Fondo, Reparaciones y Costas)</w:t>
      </w:r>
      <w:r w:rsidRPr="007B0ED6">
        <w:rPr>
          <w:rFonts w:ascii="PT Serif" w:hAnsi="PT Serif" w:cs="Times New Roman"/>
          <w:kern w:val="0"/>
          <w:sz w:val="24"/>
          <w:szCs w:val="24"/>
        </w:rPr>
        <w:t>, Sentencia de 22 de noviembre de 2005, Serie C No. 136</w:t>
      </w:r>
      <w:r w:rsidR="0030045D" w:rsidRPr="007B0ED6">
        <w:rPr>
          <w:rFonts w:ascii="PT Serif" w:hAnsi="PT Serif" w:cs="Times New Roman"/>
          <w:kern w:val="0"/>
          <w:sz w:val="24"/>
          <w:szCs w:val="24"/>
        </w:rPr>
        <w:t xml:space="preserve">. </w:t>
      </w:r>
    </w:p>
    <w:p w14:paraId="6EA9445D" w14:textId="24A1696A"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Ibsen Cárdenas e Ibsen Peña vs. Bolivia, (Fondo, Reparaciones y Costas)</w:t>
      </w:r>
      <w:r w:rsidRPr="007B0ED6">
        <w:rPr>
          <w:rFonts w:ascii="PT Serif" w:hAnsi="PT Serif" w:cs="Times New Roman"/>
          <w:kern w:val="0"/>
          <w:sz w:val="24"/>
          <w:szCs w:val="24"/>
        </w:rPr>
        <w:t>, Sentencia de 1 de septiembre de 2010, Serie C No. 217</w:t>
      </w:r>
      <w:r w:rsidR="0030045D" w:rsidRPr="007B0ED6">
        <w:rPr>
          <w:rFonts w:ascii="PT Serif" w:hAnsi="PT Serif" w:cs="Times New Roman"/>
          <w:kern w:val="0"/>
          <w:sz w:val="24"/>
          <w:szCs w:val="24"/>
        </w:rPr>
        <w:t xml:space="preserve">. </w:t>
      </w:r>
    </w:p>
    <w:p w14:paraId="6EB094ED" w14:textId="00D62BFB"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Corte IDH, </w:t>
      </w:r>
      <w:r w:rsidRPr="007B0ED6">
        <w:rPr>
          <w:rFonts w:ascii="PT Serif" w:hAnsi="PT Serif" w:cs="Times New Roman"/>
          <w:i/>
          <w:iCs/>
          <w:kern w:val="0"/>
          <w:sz w:val="24"/>
          <w:szCs w:val="24"/>
        </w:rPr>
        <w:t>Caso La Cantuta vs. Perú, (Fondo, Reparaciones y Costas)</w:t>
      </w:r>
      <w:r w:rsidRPr="007B0ED6">
        <w:rPr>
          <w:rFonts w:ascii="PT Serif" w:hAnsi="PT Serif" w:cs="Times New Roman"/>
          <w:kern w:val="0"/>
          <w:sz w:val="24"/>
          <w:szCs w:val="24"/>
        </w:rPr>
        <w:t>, Sentencia de 29 de noviembre de 2006, Serie C No. 162</w:t>
      </w:r>
      <w:r w:rsidR="0030045D" w:rsidRPr="007B0ED6">
        <w:rPr>
          <w:rFonts w:ascii="PT Serif" w:hAnsi="PT Serif" w:cs="Times New Roman"/>
          <w:kern w:val="0"/>
          <w:sz w:val="24"/>
          <w:szCs w:val="24"/>
        </w:rPr>
        <w:t>.</w:t>
      </w:r>
    </w:p>
    <w:p w14:paraId="074E2CBB"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Munárriz Escobar y otros vs. Perú (Supervisión de Cumplimiento de Sentencia)</w:t>
      </w:r>
      <w:r w:rsidRPr="007B0ED6">
        <w:rPr>
          <w:rFonts w:ascii="PT Serif" w:hAnsi="PT Serif" w:cs="Times New Roman"/>
          <w:kern w:val="0"/>
          <w:sz w:val="24"/>
          <w:szCs w:val="24"/>
        </w:rPr>
        <w:t>, Resolución de 14 de mayo de 2019.</w:t>
      </w:r>
    </w:p>
    <w:p w14:paraId="5D16B34F"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Munárriz Escobar y otros vs. Perú (Supervisión de Cumplimiento de Sentencia)</w:t>
      </w:r>
      <w:r w:rsidRPr="007B0ED6">
        <w:rPr>
          <w:rFonts w:ascii="PT Serif" w:hAnsi="PT Serif" w:cs="Times New Roman"/>
          <w:kern w:val="0"/>
          <w:sz w:val="24"/>
          <w:szCs w:val="24"/>
        </w:rPr>
        <w:t>, Resolución de 7 de octubre de 2019.</w:t>
      </w:r>
    </w:p>
    <w:p w14:paraId="4AE9D27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Munárriz Escobar y otros vs. Perú (Supervisión de Cumplimiento de Sentencia)</w:t>
      </w:r>
      <w:r w:rsidRPr="007B0ED6">
        <w:rPr>
          <w:rFonts w:ascii="PT Serif" w:hAnsi="PT Serif" w:cs="Times New Roman"/>
          <w:kern w:val="0"/>
          <w:sz w:val="24"/>
          <w:szCs w:val="24"/>
        </w:rPr>
        <w:t>, Resolución de 20 de julio de 2020.</w:t>
      </w:r>
    </w:p>
    <w:p w14:paraId="073AEC61"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Osorio Rivera y familiares vs. Perú (Supervisión de Cumplimiento de Sentencia)</w:t>
      </w:r>
      <w:r w:rsidRPr="007B0ED6">
        <w:rPr>
          <w:rFonts w:ascii="PT Serif" w:hAnsi="PT Serif" w:cs="Times New Roman"/>
          <w:kern w:val="0"/>
          <w:sz w:val="24"/>
          <w:szCs w:val="24"/>
        </w:rPr>
        <w:t>, Resolución de 9 de marzo de 2020.</w:t>
      </w:r>
    </w:p>
    <w:p w14:paraId="7A8B08F8" w14:textId="1128965C"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Palamara Iribarne vs. Chile, (Fondo, Reparaciones y Costas)</w:t>
      </w:r>
      <w:r w:rsidRPr="007B0ED6">
        <w:rPr>
          <w:rFonts w:ascii="PT Serif" w:hAnsi="PT Serif" w:cs="Times New Roman"/>
          <w:kern w:val="0"/>
          <w:sz w:val="24"/>
          <w:szCs w:val="24"/>
        </w:rPr>
        <w:t>, Sentencia de 22 de noviembre de 2005, Serie C No. 136</w:t>
      </w:r>
      <w:r w:rsidR="0030045D" w:rsidRPr="007B0ED6">
        <w:rPr>
          <w:rFonts w:ascii="PT Serif" w:hAnsi="PT Serif" w:cs="Times New Roman"/>
          <w:kern w:val="0"/>
          <w:sz w:val="24"/>
          <w:szCs w:val="24"/>
        </w:rPr>
        <w:t xml:space="preserve">. </w:t>
      </w:r>
    </w:p>
    <w:p w14:paraId="42E41A17" w14:textId="30D1850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Radilla Pacheco vs. Estados Unidos Mexicanos, (Fondo, Reparaciones y Costas)</w:t>
      </w:r>
      <w:r w:rsidRPr="007B0ED6">
        <w:rPr>
          <w:rFonts w:ascii="PT Serif" w:hAnsi="PT Serif" w:cs="Times New Roman"/>
          <w:kern w:val="0"/>
          <w:sz w:val="24"/>
          <w:szCs w:val="24"/>
        </w:rPr>
        <w:t>, Sentencia de 22 de noviembre de 2005, Serie C No. 136</w:t>
      </w:r>
      <w:r w:rsidR="0030045D" w:rsidRPr="007B0ED6">
        <w:rPr>
          <w:rFonts w:ascii="PT Serif" w:hAnsi="PT Serif" w:cs="Times New Roman"/>
          <w:kern w:val="0"/>
          <w:sz w:val="24"/>
          <w:szCs w:val="24"/>
        </w:rPr>
        <w:t xml:space="preserve">. </w:t>
      </w:r>
    </w:p>
    <w:p w14:paraId="3CD7F61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Radilla Pacheco vs. México (Supervisión de Cumplimiento de Sentencia)</w:t>
      </w:r>
      <w:r w:rsidRPr="007B0ED6">
        <w:rPr>
          <w:rFonts w:ascii="PT Serif" w:hAnsi="PT Serif" w:cs="Times New Roman"/>
          <w:kern w:val="0"/>
          <w:sz w:val="24"/>
          <w:szCs w:val="24"/>
        </w:rPr>
        <w:t>, Resolución de 19 de mayo de 2011.</w:t>
      </w:r>
    </w:p>
    <w:p w14:paraId="4407A153"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Radilla Pacheco vs. México (Supervisión de Cumplimiento de Sentencia)</w:t>
      </w:r>
      <w:r w:rsidRPr="007B0ED6">
        <w:rPr>
          <w:rFonts w:ascii="PT Serif" w:hAnsi="PT Serif" w:cs="Times New Roman"/>
          <w:kern w:val="0"/>
          <w:sz w:val="24"/>
          <w:szCs w:val="24"/>
        </w:rPr>
        <w:t>, Resolución de 28 de junio de 2012.</w:t>
      </w:r>
    </w:p>
    <w:p w14:paraId="73C4BB00"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Radilla Pacheco vs. México (Supervisión de Cumplimiento de Sentencia)</w:t>
      </w:r>
      <w:r w:rsidRPr="007B0ED6">
        <w:rPr>
          <w:rFonts w:ascii="PT Serif" w:hAnsi="PT Serif" w:cs="Times New Roman"/>
          <w:kern w:val="0"/>
          <w:sz w:val="24"/>
          <w:szCs w:val="24"/>
        </w:rPr>
        <w:t>, Resolución de 14 de mayo de 2013.</w:t>
      </w:r>
    </w:p>
    <w:p w14:paraId="5D46E4A3"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Radilla Pacheco vs. México (Supervisión de Cumplimiento de Sentencia)</w:t>
      </w:r>
      <w:r w:rsidRPr="007B0ED6">
        <w:rPr>
          <w:rFonts w:ascii="PT Serif" w:hAnsi="PT Serif" w:cs="Times New Roman"/>
          <w:kern w:val="0"/>
          <w:sz w:val="24"/>
          <w:szCs w:val="24"/>
        </w:rPr>
        <w:t>, Resolución de 24 de junio de 2022.</w:t>
      </w:r>
    </w:p>
    <w:p w14:paraId="03BE21F4" w14:textId="330747E9"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lastRenderedPageBreak/>
        <w:t xml:space="preserve">Corte IDH, </w:t>
      </w:r>
      <w:r w:rsidRPr="007B0ED6">
        <w:rPr>
          <w:rFonts w:ascii="PT Serif" w:hAnsi="PT Serif" w:cs="Times New Roman"/>
          <w:i/>
          <w:iCs/>
          <w:kern w:val="0"/>
          <w:sz w:val="24"/>
          <w:szCs w:val="24"/>
        </w:rPr>
        <w:t>Caso Radilla Pacheco vs. México, (Excepciones Preliminares, Fondo, Reparaciones y Costas)</w:t>
      </w:r>
      <w:r w:rsidRPr="007B0ED6">
        <w:rPr>
          <w:rFonts w:ascii="PT Serif" w:hAnsi="PT Serif" w:cs="Times New Roman"/>
          <w:kern w:val="0"/>
          <w:sz w:val="24"/>
          <w:szCs w:val="24"/>
        </w:rPr>
        <w:t>, Sentencia de 23 de noviembre de 2009, Serie C No. 209</w:t>
      </w:r>
      <w:r w:rsidR="0030045D" w:rsidRPr="007B0ED6">
        <w:rPr>
          <w:rFonts w:ascii="PT Serif" w:hAnsi="PT Serif" w:cs="Times New Roman"/>
          <w:kern w:val="0"/>
          <w:sz w:val="24"/>
          <w:szCs w:val="24"/>
        </w:rPr>
        <w:t xml:space="preserve">. </w:t>
      </w:r>
    </w:p>
    <w:p w14:paraId="30292DDC"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Tenorio Roca vs. Perú (Supervisión de Cumplimiento de Sentencia)</w:t>
      </w:r>
      <w:r w:rsidRPr="007B0ED6">
        <w:rPr>
          <w:rFonts w:ascii="PT Serif" w:hAnsi="PT Serif" w:cs="Times New Roman"/>
          <w:kern w:val="0"/>
          <w:sz w:val="24"/>
          <w:szCs w:val="24"/>
        </w:rPr>
        <w:t>, Resolución de 2 de septiembre de 2020.</w:t>
      </w:r>
    </w:p>
    <w:p w14:paraId="36D12ECF"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Terrones Silva y otros vs. Perú (Supervisión de Cumplimiento de Sentencia)</w:t>
      </w:r>
      <w:r w:rsidRPr="007B0ED6">
        <w:rPr>
          <w:rFonts w:ascii="PT Serif" w:hAnsi="PT Serif" w:cs="Times New Roman"/>
          <w:kern w:val="0"/>
          <w:sz w:val="24"/>
          <w:szCs w:val="24"/>
        </w:rPr>
        <w:t xml:space="preserve">, Resolución de 7 de octubre de 2019. </w:t>
      </w:r>
    </w:p>
    <w:p w14:paraId="11FD8588"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 Terrones Silva y otros vs. Perú (Supervisión de Cumplimiento de Sentencia)</w:t>
      </w:r>
      <w:r w:rsidRPr="007B0ED6">
        <w:rPr>
          <w:rFonts w:ascii="PT Serif" w:hAnsi="PT Serif" w:cs="Times New Roman"/>
          <w:kern w:val="0"/>
          <w:sz w:val="24"/>
          <w:szCs w:val="24"/>
        </w:rPr>
        <w:t>, Resolución de 1 de septiembre de 2021.</w:t>
      </w:r>
    </w:p>
    <w:p w14:paraId="667D545B"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Casos Gómez Palomino, Anzualdo Castro, Osorio Rivera y familiares y Tenorio Roca y otros vs. Perú (Supervisión de Cumplimiento de sentencia)</w:t>
      </w:r>
      <w:r w:rsidRPr="007B0ED6">
        <w:rPr>
          <w:rFonts w:ascii="PT Serif" w:hAnsi="PT Serif" w:cs="Times New Roman"/>
          <w:kern w:val="0"/>
          <w:sz w:val="24"/>
          <w:szCs w:val="24"/>
        </w:rPr>
        <w:t>, Resolución de 14 de mayo de 2019.</w:t>
      </w:r>
    </w:p>
    <w:p w14:paraId="711A1AD2" w14:textId="77777777" w:rsidR="00F279FE"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 Corte IDH, </w:t>
      </w:r>
      <w:r w:rsidRPr="007B0ED6">
        <w:rPr>
          <w:rFonts w:ascii="PT Serif" w:hAnsi="PT Serif" w:cs="Times New Roman"/>
          <w:i/>
          <w:iCs/>
          <w:kern w:val="0"/>
          <w:sz w:val="24"/>
          <w:szCs w:val="24"/>
        </w:rPr>
        <w:t>Casos Osorio Rivera y familiares, J., Penal Miguel Castro Castro, Tarazona Arrieta y otros, Espinoza Gonzáles, Cruz Sánchez y otros, Canales Huapaya y otros, Comunidad Campesina de Santa Bárbara, Quispialaya Vilcapoma y Tenorio Roca y otros vs. Perú (Supervisión Conjunta)</w:t>
      </w:r>
      <w:r w:rsidRPr="007B0ED6">
        <w:rPr>
          <w:rFonts w:ascii="PT Serif" w:hAnsi="PT Serif" w:cs="Times New Roman"/>
          <w:kern w:val="0"/>
          <w:sz w:val="24"/>
          <w:szCs w:val="24"/>
        </w:rPr>
        <w:t>, Resolución de 14 de noviembre de 2017.</w:t>
      </w:r>
    </w:p>
    <w:p w14:paraId="3B05973E" w14:textId="21555D77" w:rsidR="00D8358C" w:rsidRPr="007B0ED6" w:rsidRDefault="00F279FE" w:rsidP="007B0ED6">
      <w:pPr>
        <w:spacing w:line="360" w:lineRule="auto"/>
        <w:ind w:left="720" w:hanging="720"/>
        <w:jc w:val="both"/>
        <w:rPr>
          <w:rFonts w:ascii="PT Serif" w:hAnsi="PT Serif" w:cs="Times New Roman"/>
          <w:kern w:val="0"/>
          <w:sz w:val="24"/>
          <w:szCs w:val="24"/>
        </w:rPr>
      </w:pPr>
      <w:r w:rsidRPr="007B0ED6">
        <w:rPr>
          <w:rFonts w:ascii="PT Serif" w:hAnsi="PT Serif" w:cs="Times New Roman"/>
          <w:kern w:val="0"/>
          <w:sz w:val="24"/>
          <w:szCs w:val="24"/>
        </w:rPr>
        <w:t xml:space="preserve">Corte IDH, </w:t>
      </w:r>
      <w:r w:rsidRPr="007B0ED6">
        <w:rPr>
          <w:rFonts w:ascii="PT Serif" w:hAnsi="PT Serif" w:cs="Times New Roman"/>
          <w:i/>
          <w:iCs/>
          <w:kern w:val="0"/>
          <w:sz w:val="24"/>
          <w:szCs w:val="24"/>
        </w:rPr>
        <w:t>Casos Radilla Pacheco, Fernández Ortega y otros, y Rosendo Cantú y otra vs. México, (Supervisión de Cumplimiento de Sentencia)</w:t>
      </w:r>
      <w:r w:rsidRPr="007B0ED6">
        <w:rPr>
          <w:rFonts w:ascii="PT Serif" w:hAnsi="PT Serif" w:cs="Times New Roman"/>
          <w:kern w:val="0"/>
          <w:sz w:val="24"/>
          <w:szCs w:val="24"/>
        </w:rPr>
        <w:t xml:space="preserve">, Resolución de 17 de abril de 2015. </w:t>
      </w:r>
    </w:p>
    <w:sectPr w:rsidR="00D8358C" w:rsidRPr="007B0ED6" w:rsidSect="00223B47">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268" w:right="1418" w:bottom="2268" w:left="1418" w:header="709" w:footer="709" w:gutter="0"/>
      <w:pgNumType w:start="5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D05C" w14:textId="77777777" w:rsidR="006E2F6A" w:rsidRPr="000430DB" w:rsidRDefault="006E2F6A" w:rsidP="008D39E6">
      <w:pPr>
        <w:spacing w:after="0" w:line="240" w:lineRule="auto"/>
      </w:pPr>
      <w:r w:rsidRPr="000430DB">
        <w:separator/>
      </w:r>
    </w:p>
  </w:endnote>
  <w:endnote w:type="continuationSeparator" w:id="0">
    <w:p w14:paraId="0A672E45" w14:textId="77777777" w:rsidR="006E2F6A" w:rsidRPr="000430DB" w:rsidRDefault="006E2F6A" w:rsidP="008D39E6">
      <w:pPr>
        <w:spacing w:after="0" w:line="240" w:lineRule="auto"/>
      </w:pPr>
      <w:r w:rsidRPr="00043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 Serif">
    <w:panose1 w:val="02020600060500020200"/>
    <w:charset w:val="00"/>
    <w:family w:val="roman"/>
    <w:pitch w:val="variable"/>
    <w:sig w:usb0="E00002FF" w:usb1="500078FF" w:usb2="00000029" w:usb3="00000000" w:csb0="0000019F"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0430DB" w:rsidRDefault="00377D85" w:rsidP="00A16381">
        <w:pPr>
          <w:pStyle w:val="Piedepgina"/>
          <w:jc w:val="center"/>
          <w:rPr>
            <w:rFonts w:ascii="PT Serif" w:hAnsi="PT Serif"/>
            <w:sz w:val="20"/>
            <w:szCs w:val="20"/>
          </w:rPr>
        </w:pPr>
        <w:r w:rsidRPr="000430DB">
          <w:rPr>
            <w:rFonts w:ascii="PT Serif" w:hAnsi="PT Serif"/>
            <w:sz w:val="20"/>
            <w:szCs w:val="20"/>
          </w:rPr>
          <w:fldChar w:fldCharType="begin"/>
        </w:r>
        <w:r w:rsidRPr="000430DB">
          <w:rPr>
            <w:rFonts w:ascii="PT Serif" w:hAnsi="PT Serif"/>
            <w:sz w:val="20"/>
            <w:szCs w:val="20"/>
          </w:rPr>
          <w:instrText>PAGE   \* MERGEFORMAT</w:instrText>
        </w:r>
        <w:r w:rsidRPr="000430DB">
          <w:rPr>
            <w:rFonts w:ascii="PT Serif" w:hAnsi="PT Serif"/>
            <w:sz w:val="20"/>
            <w:szCs w:val="20"/>
          </w:rPr>
          <w:fldChar w:fldCharType="separate"/>
        </w:r>
        <w:r w:rsidRPr="000430DB">
          <w:rPr>
            <w:rFonts w:ascii="PT Serif" w:hAnsi="PT Serif"/>
            <w:sz w:val="20"/>
            <w:szCs w:val="20"/>
          </w:rPr>
          <w:t>2</w:t>
        </w:r>
        <w:r w:rsidRPr="000430DB">
          <w:rPr>
            <w:rFonts w:ascii="PT Serif" w:hAnsi="PT Serif"/>
            <w:sz w:val="20"/>
            <w:szCs w:val="20"/>
          </w:rPr>
          <w:fldChar w:fldCharType="end"/>
        </w:r>
      </w:p>
      <w:p w14:paraId="4674D243" w14:textId="77777777" w:rsidR="00377D85" w:rsidRPr="000430DB" w:rsidRDefault="00377D85" w:rsidP="00A16381">
        <w:pPr>
          <w:pStyle w:val="Piedepgina"/>
          <w:jc w:val="center"/>
          <w:rPr>
            <w:rFonts w:ascii="PT Serif" w:hAnsi="PT Serif"/>
            <w:sz w:val="20"/>
            <w:szCs w:val="20"/>
          </w:rPr>
        </w:pPr>
      </w:p>
      <w:p w14:paraId="1866BC38" w14:textId="3D5D0819" w:rsidR="00377D85" w:rsidRPr="000430DB" w:rsidRDefault="00377D85" w:rsidP="00A16381">
        <w:pPr>
          <w:pStyle w:val="Piedepgina"/>
          <w:jc w:val="center"/>
          <w:rPr>
            <w:rFonts w:ascii="PT Serif" w:hAnsi="PT Serif"/>
            <w:sz w:val="20"/>
            <w:szCs w:val="20"/>
          </w:rPr>
        </w:pPr>
        <w:r w:rsidRPr="000430DB">
          <w:rPr>
            <w:rFonts w:ascii="PT Serif" w:hAnsi="PT Serif"/>
            <w:i/>
            <w:iCs/>
            <w:sz w:val="20"/>
            <w:szCs w:val="20"/>
          </w:rPr>
          <w:t xml:space="preserve">Revista de Derecho, </w:t>
        </w:r>
        <w:r w:rsidRPr="000430DB">
          <w:rPr>
            <w:rFonts w:ascii="PT Serif" w:hAnsi="PT Serif"/>
            <w:sz w:val="20"/>
            <w:szCs w:val="20"/>
          </w:rPr>
          <w:t>Año 202</w:t>
        </w:r>
        <w:r w:rsidR="000F3E09" w:rsidRPr="000430DB">
          <w:rPr>
            <w:rFonts w:ascii="PT Serif" w:hAnsi="PT Serif"/>
            <w:sz w:val="20"/>
            <w:szCs w:val="20"/>
          </w:rPr>
          <w:t>5</w:t>
        </w:r>
        <w:r w:rsidR="00490670">
          <w:rPr>
            <w:rFonts w:ascii="PT Serif" w:hAnsi="PT Serif"/>
            <w:sz w:val="20"/>
            <w:szCs w:val="20"/>
          </w:rPr>
          <w:t xml:space="preserve">, pp. 523-577. </w:t>
        </w:r>
        <w:r w:rsidRPr="000430DB">
          <w:rPr>
            <w:rFonts w:ascii="PT Serif" w:hAnsi="PT Serif"/>
            <w:sz w:val="20"/>
            <w:szCs w:val="20"/>
          </w:rPr>
          <w:t>ISSN: 1608-1714 (versión impresa), 2664-2669 (en línea)</w:t>
        </w:r>
      </w:p>
      <w:p w14:paraId="0A7EE1F5" w14:textId="57D873A9" w:rsidR="00377D85" w:rsidRPr="000430DB"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0430DB" w:rsidRDefault="003E5C75" w:rsidP="00A16381">
        <w:pPr>
          <w:pStyle w:val="Piedepgina"/>
          <w:jc w:val="center"/>
          <w:rPr>
            <w:rFonts w:ascii="PT Serif" w:hAnsi="PT Serif"/>
            <w:sz w:val="20"/>
            <w:szCs w:val="20"/>
          </w:rPr>
        </w:pPr>
        <w:r w:rsidRPr="000430DB">
          <w:rPr>
            <w:rFonts w:ascii="PT Serif" w:hAnsi="PT Serif"/>
            <w:sz w:val="20"/>
            <w:szCs w:val="20"/>
          </w:rPr>
          <w:fldChar w:fldCharType="begin"/>
        </w:r>
        <w:r w:rsidRPr="000430DB">
          <w:rPr>
            <w:rFonts w:ascii="PT Serif" w:hAnsi="PT Serif"/>
            <w:sz w:val="20"/>
            <w:szCs w:val="20"/>
          </w:rPr>
          <w:instrText>PAGE   \* MERGEFORMAT</w:instrText>
        </w:r>
        <w:r w:rsidRPr="000430DB">
          <w:rPr>
            <w:rFonts w:ascii="PT Serif" w:hAnsi="PT Serif"/>
            <w:sz w:val="20"/>
            <w:szCs w:val="20"/>
          </w:rPr>
          <w:fldChar w:fldCharType="separate"/>
        </w:r>
        <w:r w:rsidRPr="000430DB">
          <w:rPr>
            <w:rFonts w:ascii="PT Serif" w:hAnsi="PT Serif"/>
            <w:sz w:val="20"/>
            <w:szCs w:val="20"/>
          </w:rPr>
          <w:t>2</w:t>
        </w:r>
        <w:r w:rsidRPr="000430DB">
          <w:rPr>
            <w:rFonts w:ascii="PT Serif" w:hAnsi="PT Serif"/>
            <w:sz w:val="20"/>
            <w:szCs w:val="20"/>
          </w:rPr>
          <w:fldChar w:fldCharType="end"/>
        </w:r>
      </w:p>
    </w:sdtContent>
  </w:sdt>
  <w:p w14:paraId="5DC00DF9" w14:textId="2E6C82D7" w:rsidR="003E5C75" w:rsidRPr="000430DB" w:rsidRDefault="003E5C75" w:rsidP="00A16381">
    <w:pPr>
      <w:pStyle w:val="Piedepgina"/>
      <w:jc w:val="center"/>
      <w:rPr>
        <w:rFonts w:ascii="PT Serif" w:hAnsi="PT Serif"/>
        <w:sz w:val="20"/>
        <w:szCs w:val="20"/>
      </w:rPr>
    </w:pPr>
  </w:p>
  <w:p w14:paraId="00515925" w14:textId="1C310488" w:rsidR="003E5C75" w:rsidRPr="000430DB" w:rsidRDefault="003E5C75" w:rsidP="00A16381">
    <w:pPr>
      <w:pStyle w:val="Piedepgina"/>
      <w:jc w:val="center"/>
      <w:rPr>
        <w:rFonts w:ascii="PT Serif" w:hAnsi="PT Serif"/>
        <w:sz w:val="20"/>
        <w:szCs w:val="20"/>
      </w:rPr>
    </w:pPr>
    <w:r w:rsidRPr="000430DB">
      <w:rPr>
        <w:rFonts w:ascii="PT Serif" w:hAnsi="PT Serif"/>
        <w:i/>
        <w:iCs/>
        <w:sz w:val="20"/>
        <w:szCs w:val="20"/>
      </w:rPr>
      <w:t xml:space="preserve">Revista de Derecho, </w:t>
    </w:r>
    <w:r w:rsidRPr="000430DB">
      <w:rPr>
        <w:rFonts w:ascii="PT Serif" w:hAnsi="PT Serif"/>
        <w:sz w:val="20"/>
        <w:szCs w:val="20"/>
      </w:rPr>
      <w:t>Año 202</w:t>
    </w:r>
    <w:r w:rsidR="004431E3" w:rsidRPr="000430DB">
      <w:rPr>
        <w:rFonts w:ascii="PT Serif" w:hAnsi="PT Serif"/>
        <w:sz w:val="20"/>
        <w:szCs w:val="20"/>
      </w:rPr>
      <w:t>5</w:t>
    </w:r>
    <w:r w:rsidR="00490670">
      <w:rPr>
        <w:rFonts w:ascii="PT Serif" w:hAnsi="PT Serif"/>
        <w:sz w:val="20"/>
        <w:szCs w:val="20"/>
      </w:rPr>
      <w:t xml:space="preserve">, pp. 523-577. </w:t>
    </w:r>
    <w:r w:rsidRPr="000430DB">
      <w:rPr>
        <w:rFonts w:ascii="PT Serif" w:hAnsi="PT Serif"/>
        <w:sz w:val="20"/>
        <w:szCs w:val="20"/>
      </w:rPr>
      <w:t>ISSN: 1608-1714 (versión impresa), 2664-2669 (en línea)</w:t>
    </w:r>
  </w:p>
  <w:p w14:paraId="23794512" w14:textId="77777777" w:rsidR="003E5C75" w:rsidRPr="000430D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5164009B" w:rsidR="00E958FA" w:rsidRPr="000430DB" w:rsidRDefault="00832F37">
    <w:pPr>
      <w:pStyle w:val="Piedepgina"/>
      <w:rPr>
        <w:rFonts w:ascii="PT Serif" w:hAnsi="PT Serif"/>
        <w:sz w:val="20"/>
        <w:szCs w:val="20"/>
      </w:rPr>
    </w:pPr>
    <w:r w:rsidRPr="000430DB">
      <w:rPr>
        <w:rFonts w:ascii="PT Serif" w:hAnsi="PT Serif"/>
        <w:sz w:val="20"/>
        <w:szCs w:val="20"/>
      </w:rPr>
      <w:t>Recibido:</w:t>
    </w:r>
    <w:r w:rsidR="00977592">
      <w:rPr>
        <w:rFonts w:ascii="PT Serif" w:hAnsi="PT Serif"/>
        <w:sz w:val="20"/>
        <w:szCs w:val="20"/>
      </w:rPr>
      <w:t xml:space="preserve"> 10 de marzo de 2025</w:t>
    </w:r>
    <w:r w:rsidR="00E958FA" w:rsidRPr="000430DB">
      <w:rPr>
        <w:rFonts w:ascii="PT Serif" w:hAnsi="PT Serif"/>
        <w:sz w:val="20"/>
        <w:szCs w:val="20"/>
      </w:rPr>
      <w:ptab w:relativeTo="margin" w:alignment="center" w:leader="none"/>
    </w:r>
    <w:r w:rsidR="00E958FA" w:rsidRPr="000430DB">
      <w:rPr>
        <w:rFonts w:ascii="PT Serif" w:hAnsi="PT Serif"/>
        <w:sz w:val="20"/>
        <w:szCs w:val="20"/>
      </w:rPr>
      <w:ptab w:relativeTo="margin" w:alignment="right" w:leader="none"/>
    </w:r>
    <w:r w:rsidR="00F7687E" w:rsidRPr="000430DB">
      <w:rPr>
        <w:rFonts w:ascii="PT Serif" w:hAnsi="PT Serif"/>
        <w:sz w:val="20"/>
        <w:szCs w:val="20"/>
      </w:rPr>
      <w:t xml:space="preserve">Aceptado: </w:t>
    </w:r>
    <w:r w:rsidR="00977592">
      <w:rPr>
        <w:rFonts w:ascii="PT Serif" w:hAnsi="PT Serif"/>
        <w:sz w:val="20"/>
        <w:szCs w:val="20"/>
      </w:rPr>
      <w:t>14 de junio de 2025</w:t>
    </w:r>
  </w:p>
  <w:p w14:paraId="1DC5AF77" w14:textId="77777777" w:rsidR="00AC2097" w:rsidRPr="000430DB" w:rsidRDefault="00AC2097" w:rsidP="00A16381">
    <w:pPr>
      <w:pStyle w:val="Piedepgina"/>
      <w:jc w:val="center"/>
      <w:rPr>
        <w:rFonts w:ascii="PT Serif" w:hAnsi="PT Serif"/>
        <w:sz w:val="20"/>
        <w:szCs w:val="20"/>
      </w:rPr>
    </w:pPr>
  </w:p>
  <w:p w14:paraId="0A98638D" w14:textId="6601AF54" w:rsidR="00A64FC1" w:rsidRPr="000430DB" w:rsidRDefault="00223B47" w:rsidP="00A16381">
    <w:pPr>
      <w:pStyle w:val="Piedepgina"/>
      <w:jc w:val="center"/>
      <w:rPr>
        <w:rFonts w:ascii="PT Serif" w:hAnsi="PT Serif"/>
        <w:sz w:val="20"/>
        <w:szCs w:val="20"/>
      </w:rPr>
    </w:pPr>
    <w:r>
      <w:rPr>
        <w:rFonts w:ascii="PT Serif" w:hAnsi="PT Serif"/>
        <w:sz w:val="20"/>
        <w:szCs w:val="20"/>
      </w:rPr>
      <w:t>523</w:t>
    </w:r>
  </w:p>
  <w:p w14:paraId="2E77E33D" w14:textId="77777777" w:rsidR="00A64FC1" w:rsidRPr="000430DB" w:rsidRDefault="00A64FC1" w:rsidP="00A16381">
    <w:pPr>
      <w:pStyle w:val="Piedepgina"/>
      <w:jc w:val="center"/>
      <w:rPr>
        <w:rFonts w:ascii="PT Serif" w:hAnsi="PT Serif"/>
        <w:sz w:val="20"/>
        <w:szCs w:val="20"/>
      </w:rPr>
    </w:pPr>
  </w:p>
  <w:p w14:paraId="3849F520" w14:textId="4BA6FBF9" w:rsidR="00AB622B" w:rsidRPr="000430DB" w:rsidRDefault="00AB622B" w:rsidP="00A16381">
    <w:pPr>
      <w:pStyle w:val="Piedepgina"/>
      <w:jc w:val="center"/>
      <w:rPr>
        <w:rFonts w:ascii="PT Serif" w:hAnsi="PT Serif"/>
        <w:sz w:val="20"/>
        <w:szCs w:val="20"/>
      </w:rPr>
    </w:pPr>
    <w:r w:rsidRPr="000430DB">
      <w:rPr>
        <w:rFonts w:ascii="PT Serif" w:hAnsi="PT Serif"/>
        <w:i/>
        <w:iCs/>
        <w:sz w:val="20"/>
        <w:szCs w:val="20"/>
      </w:rPr>
      <w:t xml:space="preserve">Revista de Derecho, </w:t>
    </w:r>
    <w:r w:rsidRPr="000430DB">
      <w:rPr>
        <w:rFonts w:ascii="PT Serif" w:hAnsi="PT Serif"/>
        <w:sz w:val="20"/>
        <w:szCs w:val="20"/>
      </w:rPr>
      <w:t>Año 202</w:t>
    </w:r>
    <w:r w:rsidR="004431E3" w:rsidRPr="000430DB">
      <w:rPr>
        <w:rFonts w:ascii="PT Serif" w:hAnsi="PT Serif"/>
        <w:sz w:val="20"/>
        <w:szCs w:val="20"/>
      </w:rPr>
      <w:t>5</w:t>
    </w:r>
    <w:r w:rsidR="00490670">
      <w:rPr>
        <w:rFonts w:ascii="PT Serif" w:hAnsi="PT Serif"/>
        <w:sz w:val="20"/>
        <w:szCs w:val="20"/>
      </w:rPr>
      <w:t>, pp. 523-577.</w:t>
    </w:r>
    <w:r w:rsidR="003740C3" w:rsidRPr="000430DB">
      <w:rPr>
        <w:rFonts w:ascii="PT Serif" w:hAnsi="PT Serif"/>
        <w:sz w:val="20"/>
        <w:szCs w:val="20"/>
      </w:rPr>
      <w:t xml:space="preserve"> ISSN: 1608-1714 (versión impresa), 2664-2669</w:t>
    </w:r>
    <w:r w:rsidR="00A64FC1" w:rsidRPr="000430DB">
      <w:rPr>
        <w:rFonts w:ascii="PT Serif" w:hAnsi="PT Serif"/>
        <w:sz w:val="20"/>
        <w:szCs w:val="20"/>
      </w:rPr>
      <w:t xml:space="preserve"> (en línea)</w:t>
    </w:r>
  </w:p>
  <w:p w14:paraId="587537DA" w14:textId="77777777" w:rsidR="00AC2097" w:rsidRPr="000430D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E07C" w14:textId="77777777" w:rsidR="006E2F6A" w:rsidRPr="000430DB" w:rsidRDefault="006E2F6A" w:rsidP="008D39E6">
      <w:pPr>
        <w:spacing w:after="0" w:line="240" w:lineRule="auto"/>
      </w:pPr>
      <w:r w:rsidRPr="000430DB">
        <w:separator/>
      </w:r>
    </w:p>
  </w:footnote>
  <w:footnote w:type="continuationSeparator" w:id="0">
    <w:p w14:paraId="7D99607E" w14:textId="77777777" w:rsidR="006E2F6A" w:rsidRPr="000430DB" w:rsidRDefault="006E2F6A" w:rsidP="008D39E6">
      <w:pPr>
        <w:spacing w:after="0" w:line="240" w:lineRule="auto"/>
      </w:pPr>
      <w:r w:rsidRPr="000430DB">
        <w:continuationSeparator/>
      </w:r>
    </w:p>
  </w:footnote>
  <w:footnote w:id="1">
    <w:p w14:paraId="5BE7BC7E" w14:textId="158CE9F2" w:rsidR="0089797A" w:rsidRPr="007B0ED6" w:rsidRDefault="00107514"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sym w:font="Symbol" w:char="F02A"/>
      </w:r>
      <w:r w:rsidR="001F0FF9" w:rsidRPr="007B0ED6">
        <w:rPr>
          <w:rFonts w:ascii="PT Serif" w:hAnsi="PT Serif" w:cs="Times New Roman"/>
        </w:rPr>
        <w:t xml:space="preserve"> </w:t>
      </w:r>
      <w:r w:rsidR="007208D5" w:rsidRPr="007B0ED6">
        <w:rPr>
          <w:rFonts w:ascii="PT Serif" w:hAnsi="PT Serif" w:cs="Times New Roman"/>
        </w:rPr>
        <w:t>Doctor en Derecho Penal, Centros de Estudios de Posgrado, campus Mexicali</w:t>
      </w:r>
      <w:r w:rsidR="00DB1128" w:rsidRPr="007B0ED6">
        <w:rPr>
          <w:rFonts w:ascii="PT Serif" w:hAnsi="PT Serif" w:cs="Times New Roman"/>
        </w:rPr>
        <w:t xml:space="preserve"> (</w:t>
      </w:r>
      <w:r w:rsidR="007208D5" w:rsidRPr="007B0ED6">
        <w:rPr>
          <w:rFonts w:ascii="PT Serif" w:hAnsi="PT Serif" w:cs="Times New Roman"/>
        </w:rPr>
        <w:t>de México</w:t>
      </w:r>
      <w:r w:rsidR="00DB1128" w:rsidRPr="007B0ED6">
        <w:rPr>
          <w:rFonts w:ascii="PT Serif" w:hAnsi="PT Serif" w:cs="Times New Roman"/>
        </w:rPr>
        <w:t>)</w:t>
      </w:r>
      <w:r w:rsidR="007208D5" w:rsidRPr="007B0ED6">
        <w:rPr>
          <w:rFonts w:ascii="PT Serif" w:hAnsi="PT Serif" w:cs="Times New Roman"/>
        </w:rPr>
        <w:t xml:space="preserve">. </w:t>
      </w:r>
      <w:r w:rsidR="0036111D" w:rsidRPr="007B0ED6">
        <w:rPr>
          <w:rFonts w:ascii="PT Serif" w:hAnsi="PT Serif" w:cs="Times New Roman"/>
        </w:rPr>
        <w:t>Maestro</w:t>
      </w:r>
      <w:r w:rsidR="007208D5" w:rsidRPr="007B0ED6">
        <w:rPr>
          <w:rFonts w:ascii="PT Serif" w:hAnsi="PT Serif" w:cs="Times New Roman"/>
        </w:rPr>
        <w:t xml:space="preserve"> </w:t>
      </w:r>
      <w:r w:rsidR="00B41F8E" w:rsidRPr="007B0ED6">
        <w:rPr>
          <w:rFonts w:ascii="PT Serif" w:hAnsi="PT Serif" w:cs="Times New Roman"/>
        </w:rPr>
        <w:t>en</w:t>
      </w:r>
      <w:r w:rsidR="007208D5" w:rsidRPr="007B0ED6">
        <w:rPr>
          <w:rFonts w:ascii="PT Serif" w:hAnsi="PT Serif" w:cs="Times New Roman"/>
        </w:rPr>
        <w:t xml:space="preserve"> Justicia Constitucional, Universidad de Guanajuato (UG). </w:t>
      </w:r>
      <w:r w:rsidR="0036111D" w:rsidRPr="007B0ED6">
        <w:rPr>
          <w:rFonts w:ascii="PT Serif" w:hAnsi="PT Serif" w:cs="Times New Roman"/>
        </w:rPr>
        <w:t>Licenciado</w:t>
      </w:r>
      <w:r w:rsidR="007208D5" w:rsidRPr="007B0ED6">
        <w:rPr>
          <w:rFonts w:ascii="PT Serif" w:hAnsi="PT Serif" w:cs="Times New Roman"/>
        </w:rPr>
        <w:t xml:space="preserve"> en Derecho,</w:t>
      </w:r>
      <w:r w:rsidR="0002241E" w:rsidRPr="007B0ED6">
        <w:rPr>
          <w:rFonts w:ascii="PT Serif" w:hAnsi="PT Serif" w:cs="Times New Roman"/>
        </w:rPr>
        <w:t xml:space="preserve"> </w:t>
      </w:r>
      <w:r w:rsidR="007208D5" w:rsidRPr="007B0ED6">
        <w:rPr>
          <w:rFonts w:ascii="PT Serif" w:hAnsi="PT Serif" w:cs="Times New Roman"/>
        </w:rPr>
        <w:t>UG. Titular del Órgano Interno de Control de la UG y profesor del Departamento de Derecho de la División de Derecho, Política y Gobierno</w:t>
      </w:r>
      <w:r w:rsidR="005667D5" w:rsidRPr="007B0ED6">
        <w:rPr>
          <w:rFonts w:ascii="PT Serif" w:hAnsi="PT Serif" w:cs="Times New Roman"/>
        </w:rPr>
        <w:t xml:space="preserve"> de la UG.</w:t>
      </w:r>
      <w:r w:rsidR="007208D5" w:rsidRPr="007B0ED6">
        <w:rPr>
          <w:rFonts w:ascii="PT Serif" w:hAnsi="PT Serif" w:cs="Times New Roman"/>
        </w:rPr>
        <w:t xml:space="preserve"> Presidente del Consejo Directivo de la Asociación Mexicana de Órganos de Control y Vigilancia en Instituciones de Educación Superior A.</w:t>
      </w:r>
      <w:r w:rsidR="00E55A9A" w:rsidRPr="007B0ED6">
        <w:rPr>
          <w:rFonts w:ascii="PT Serif" w:hAnsi="PT Serif" w:cs="Times New Roman"/>
        </w:rPr>
        <w:t xml:space="preserve"> </w:t>
      </w:r>
      <w:r w:rsidR="007208D5" w:rsidRPr="007B0ED6">
        <w:rPr>
          <w:rFonts w:ascii="PT Serif" w:hAnsi="PT Serif" w:cs="Times New Roman"/>
        </w:rPr>
        <w:t>C. (AMOCVIES, A.</w:t>
      </w:r>
      <w:r w:rsidR="0036111D" w:rsidRPr="007B0ED6">
        <w:rPr>
          <w:rFonts w:ascii="PT Serif" w:hAnsi="PT Serif" w:cs="Times New Roman"/>
        </w:rPr>
        <w:t xml:space="preserve"> </w:t>
      </w:r>
      <w:r w:rsidR="007208D5" w:rsidRPr="007B0ED6">
        <w:rPr>
          <w:rFonts w:ascii="PT Serif" w:hAnsi="PT Serif" w:cs="Times New Roman"/>
        </w:rPr>
        <w:t>C.). Autor de textos académicos y de artículos en revistas jurídicas.</w:t>
      </w:r>
      <w:r w:rsidR="00363B5C" w:rsidRPr="007B0ED6">
        <w:rPr>
          <w:rFonts w:ascii="PT Serif" w:hAnsi="PT Serif" w:cs="Times New Roman"/>
        </w:rPr>
        <w:t xml:space="preserve"> </w:t>
      </w:r>
      <w:hyperlink r:id="rId1" w:history="1">
        <w:r w:rsidR="007208D5" w:rsidRPr="007B0ED6">
          <w:rPr>
            <w:rStyle w:val="Hipervnculo"/>
            <w:rFonts w:ascii="PT Serif" w:hAnsi="PT Serif" w:cs="Times New Roman"/>
            <w:color w:val="auto"/>
          </w:rPr>
          <w:t>noriegajafet@gmail.com</w:t>
        </w:r>
      </w:hyperlink>
      <w:r w:rsidR="007208D5" w:rsidRPr="007B0ED6">
        <w:rPr>
          <w:rFonts w:ascii="PT Serif" w:hAnsi="PT Serif" w:cs="Times New Roman"/>
        </w:rPr>
        <w:t>. ORCID: 0009-0001-3386-7933</w:t>
      </w:r>
    </w:p>
  </w:footnote>
  <w:footnote w:id="2">
    <w:p w14:paraId="79DE013A" w14:textId="0D94DC15" w:rsidR="0089797A" w:rsidRPr="007B0ED6" w:rsidRDefault="0089797A"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sym w:font="Symbol" w:char="F02A"/>
      </w:r>
      <w:r w:rsidRPr="007B0ED6">
        <w:rPr>
          <w:rStyle w:val="Refdenotaalpie"/>
          <w:rFonts w:ascii="PT Serif" w:hAnsi="PT Serif" w:cs="Times New Roman"/>
        </w:rPr>
        <w:sym w:font="Symbol" w:char="F02A"/>
      </w:r>
      <w:r w:rsidRPr="007B0ED6">
        <w:rPr>
          <w:rFonts w:ascii="PT Serif" w:hAnsi="PT Serif" w:cs="Times New Roman"/>
        </w:rPr>
        <w:t xml:space="preserve"> </w:t>
      </w:r>
      <w:r w:rsidR="00CF1E41" w:rsidRPr="007B0ED6">
        <w:rPr>
          <w:rFonts w:ascii="PT Serif" w:hAnsi="PT Serif" w:cs="Times New Roman"/>
        </w:rPr>
        <w:t>Estudiante de octavo semestre de la Licenciatura en Derecho de la División de Derecho, Política y Gobierno</w:t>
      </w:r>
      <w:r w:rsidR="005667D5" w:rsidRPr="007B0ED6">
        <w:rPr>
          <w:rFonts w:ascii="PT Serif" w:hAnsi="PT Serif" w:cs="Times New Roman"/>
        </w:rPr>
        <w:t xml:space="preserve"> </w:t>
      </w:r>
      <w:r w:rsidR="00CF1E41" w:rsidRPr="007B0ED6">
        <w:rPr>
          <w:rFonts w:ascii="PT Serif" w:hAnsi="PT Serif" w:cs="Times New Roman"/>
        </w:rPr>
        <w:t xml:space="preserve">de la UG. Asistente coordinador del Departamento de Gestión Estratégica del Órgano Interno de Control de la UG. Galardonado como el estudiante con más alto promedio en el año 2023 dentro del programa educativo </w:t>
      </w:r>
      <w:r w:rsidR="005667D5" w:rsidRPr="007B0ED6">
        <w:rPr>
          <w:rFonts w:ascii="PT Serif" w:hAnsi="PT Serif" w:cs="Times New Roman"/>
        </w:rPr>
        <w:t>de</w:t>
      </w:r>
      <w:r w:rsidR="00CF1E41" w:rsidRPr="007B0ED6">
        <w:rPr>
          <w:rFonts w:ascii="PT Serif" w:hAnsi="PT Serif" w:cs="Times New Roman"/>
        </w:rPr>
        <w:t xml:space="preserve"> Derecho de la UG.</w:t>
      </w:r>
      <w:r w:rsidR="00363B5C" w:rsidRPr="007B0ED6">
        <w:rPr>
          <w:rFonts w:ascii="PT Serif" w:hAnsi="PT Serif" w:cs="Times New Roman"/>
        </w:rPr>
        <w:t xml:space="preserve"> </w:t>
      </w:r>
      <w:hyperlink r:id="rId2" w:history="1">
        <w:r w:rsidR="00CF1E41" w:rsidRPr="007B0ED6">
          <w:rPr>
            <w:rStyle w:val="Hipervnculo"/>
            <w:rFonts w:ascii="PT Serif" w:hAnsi="PT Serif" w:cs="Times New Roman"/>
            <w:color w:val="auto"/>
          </w:rPr>
          <w:t>da.nunezaguirre@ugto.mx</w:t>
        </w:r>
      </w:hyperlink>
      <w:r w:rsidR="00CF1E41" w:rsidRPr="007B0ED6">
        <w:rPr>
          <w:rFonts w:ascii="PT Serif" w:hAnsi="PT Serif" w:cs="Times New Roman"/>
        </w:rPr>
        <w:t xml:space="preserve">. ORCID: 0009-0006-3304-9507 </w:t>
      </w:r>
    </w:p>
  </w:footnote>
  <w:footnote w:id="3">
    <w:p w14:paraId="287625FD" w14:textId="45DC4B68" w:rsidR="00070477" w:rsidRPr="007B0ED6" w:rsidRDefault="00070477"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Cabe mencionar que actualmente el Estado no </w:t>
      </w:r>
      <w:r w:rsidR="00276A41" w:rsidRPr="007B0ED6">
        <w:rPr>
          <w:rFonts w:ascii="PT Serif" w:hAnsi="PT Serif" w:cs="Times New Roman"/>
        </w:rPr>
        <w:t xml:space="preserve">es </w:t>
      </w:r>
      <w:r w:rsidRPr="007B0ED6">
        <w:rPr>
          <w:rFonts w:ascii="PT Serif" w:hAnsi="PT Serif" w:cs="Times New Roman"/>
        </w:rPr>
        <w:t xml:space="preserve">el único agente activo del delito, pues también se ha incorporado a los particulares y organizaciones subversivas como responsables cuando medie apoyo, autorización o tolerancia por parte del aparato estatal. </w:t>
      </w:r>
    </w:p>
  </w:footnote>
  <w:footnote w:id="4">
    <w:p w14:paraId="321F91EA" w14:textId="77777777" w:rsidR="001C00F4" w:rsidRPr="007B0ED6" w:rsidRDefault="001C00F4"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El 26 de septiembre de 2014, 43 estudiantes de la Normal de Ayotzinapa fueron desaparecidos en Iguala, Guerrero. Investigaciones independientes han desmentido la versión oficial y señalado la implicación de autoridades y crimen organizado. El caso sigue impune y simboliza la crisis de derechos humanos en México.</w:t>
      </w:r>
    </w:p>
  </w:footnote>
  <w:footnote w:id="5">
    <w:p w14:paraId="4B311CC2" w14:textId="7A1818BF" w:rsidR="00281E3B" w:rsidRPr="007B0ED6" w:rsidRDefault="00281E3B"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Esta política se centra en un enfoque alternativo a la estrategia militarizada implementada en administraciones previas, ya que su premisa central fue dejar de lado la violencia y abocarse a atender causas estructurales de ésta mediante políticas sociales y económicas que redujeran la desigualdad. </w:t>
      </w:r>
    </w:p>
  </w:footnote>
  <w:footnote w:id="6">
    <w:p w14:paraId="741B60C1" w14:textId="090AA235" w:rsidR="005F0ACA" w:rsidRPr="007B0ED6" w:rsidRDefault="005F0ACA"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Cabe mencionar que en el Caso Cayara, pese a abordarse el tema de la desaparición forzada, no se dictaron medidas reparatorias ante la acreditación de una excepción preliminar, por esa razón se ha optado por no incluirla en la lista. </w:t>
      </w:r>
    </w:p>
  </w:footnote>
  <w:footnote w:id="7">
    <w:p w14:paraId="2570AA5E" w14:textId="6635315A" w:rsidR="00C66BF7" w:rsidRPr="007B0ED6" w:rsidRDefault="00F81378"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Cabe decir que, si bien ha habido reformas a la legislación militar, sigue pendiente, de conformidad con la revisión hecha</w:t>
      </w:r>
      <w:r w:rsidR="00C66BF7" w:rsidRPr="007B0ED6">
        <w:rPr>
          <w:rFonts w:ascii="PT Serif" w:hAnsi="PT Serif" w:cs="Times New Roman"/>
        </w:rPr>
        <w:t xml:space="preserve"> por la CoIDH</w:t>
      </w:r>
      <w:r w:rsidRPr="007B0ED6">
        <w:rPr>
          <w:rFonts w:ascii="PT Serif" w:hAnsi="PT Serif" w:cs="Times New Roman"/>
        </w:rPr>
        <w:t xml:space="preserve"> el 24 de junio de 2022, adecuar el artículo 57 del Código de Justicia Militar con los estándares internacionales. Esta disposición aún permite la intervención de la jurisdicción castrense en casos que deberían ser competencia del fuero civil, </w:t>
      </w:r>
      <w:r w:rsidR="00C66BF7" w:rsidRPr="007B0ED6">
        <w:rPr>
          <w:rFonts w:ascii="PT Serif" w:hAnsi="PT Serif" w:cs="Times New Roman"/>
        </w:rPr>
        <w:t>lo cual impide</w:t>
      </w:r>
      <w:r w:rsidRPr="007B0ED6">
        <w:rPr>
          <w:rFonts w:ascii="PT Serif" w:hAnsi="PT Serif" w:cs="Times New Roman"/>
        </w:rPr>
        <w:t xml:space="preserve"> determinar el cumplimiento íntegro de la medida reparatoria</w:t>
      </w:r>
      <w:r w:rsidR="00C66BF7" w:rsidRPr="007B0ED6">
        <w:rPr>
          <w:rFonts w:ascii="PT Serif" w:hAnsi="PT Serif" w:cs="Times New Roman"/>
        </w:rPr>
        <w:t xml:space="preserve">. </w:t>
      </w:r>
    </w:p>
  </w:footnote>
  <w:footnote w:id="8">
    <w:p w14:paraId="5562C1A0" w14:textId="0475C7B7" w:rsidR="00C66BF7" w:rsidRPr="007B0ED6" w:rsidRDefault="00C66BF7"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Asimismo, se destaca que en 2025 la Suprema Corte de Justicia de la Nación analizará las omisiones en el Caso Radilla Pacheco, abordando, entre otros temas, el terrorismo de Estado</w:t>
      </w:r>
      <w:r w:rsidR="008D05AD" w:rsidRPr="007B0ED6">
        <w:rPr>
          <w:rFonts w:ascii="PT Serif" w:hAnsi="PT Serif" w:cs="Times New Roman"/>
        </w:rPr>
        <w:t>.</w:t>
      </w:r>
    </w:p>
  </w:footnote>
  <w:footnote w:id="9">
    <w:p w14:paraId="30D037CD" w14:textId="514C8E91" w:rsidR="00F81378" w:rsidRPr="007B0ED6" w:rsidRDefault="00F81378"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Las revisiones al cumplimiento de esta sentencia aún están pendientes de realizarse, pues el informe del Estado deberá de presentarse en el año 2025, aproximadamente en el periodo de agosto-septiembre. </w:t>
      </w:r>
    </w:p>
  </w:footnote>
  <w:footnote w:id="10">
    <w:p w14:paraId="140D201B" w14:textId="77777777" w:rsidR="00811EB1" w:rsidRPr="007B0ED6" w:rsidRDefault="00811EB1"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Revísese los casos archivados por supervisión de cumplimiento de la CoIDH. De las más de 100 sentencias contra Perú, únicamente se han tenido por cumplidos plenamente 3.  Por cuanto hace a México, de las 18 resoluciones en su contra, solamente se ha archivado 1. </w:t>
      </w:r>
    </w:p>
  </w:footnote>
  <w:footnote w:id="11">
    <w:p w14:paraId="3A61FECB" w14:textId="084C7C12" w:rsidR="00A25559" w:rsidRPr="007B0ED6" w:rsidRDefault="00A25559"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La política de reconciliación es entendida como aquellas acciones implementadas por un Estado para restablecer la paz y la convivencia después de conflictos políticos, sociales o violaciones graves de derechos humanos. </w:t>
      </w:r>
    </w:p>
  </w:footnote>
  <w:footnote w:id="12">
    <w:p w14:paraId="006F6416" w14:textId="3A70F66F" w:rsidR="007E06AB" w:rsidRPr="007B0ED6" w:rsidRDefault="007E06AB"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Véase los artículos 2</w:t>
      </w:r>
      <w:r w:rsidR="002B7420" w:rsidRPr="007B0ED6">
        <w:rPr>
          <w:rFonts w:ascii="PT Serif" w:hAnsi="PT Serif" w:cs="Times New Roman"/>
        </w:rPr>
        <w:t>6</w:t>
      </w:r>
      <w:r w:rsidRPr="007B0ED6">
        <w:rPr>
          <w:rFonts w:ascii="PT Serif" w:hAnsi="PT Serif" w:cs="Times New Roman"/>
        </w:rPr>
        <w:t xml:space="preserve"> y 27 de la Convención de Viena sobre el derecho de los tratados (</w:t>
      </w:r>
      <w:r w:rsidRPr="007B0ED6">
        <w:rPr>
          <w:rFonts w:ascii="PT Serif" w:hAnsi="PT Serif" w:cs="Times New Roman"/>
          <w:i/>
          <w:iCs/>
        </w:rPr>
        <w:t>pacta sunt servanda</w:t>
      </w:r>
      <w:r w:rsidRPr="007B0ED6">
        <w:rPr>
          <w:rFonts w:ascii="PT Serif" w:hAnsi="PT Serif" w:cs="Times New Roman"/>
        </w:rPr>
        <w:t>).</w:t>
      </w:r>
    </w:p>
  </w:footnote>
  <w:footnote w:id="13">
    <w:p w14:paraId="067DFA65" w14:textId="1C81610D" w:rsidR="00E13927" w:rsidRPr="007B0ED6" w:rsidRDefault="00E13927"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Véase la tabla: Cumplimiento de medidas reparatorias en casos de Desaparición Forzada en Perú ubicada en el presente artículo. </w:t>
      </w:r>
    </w:p>
  </w:footnote>
  <w:footnote w:id="14">
    <w:p w14:paraId="5BD05E26" w14:textId="06100ECE" w:rsidR="000278F8" w:rsidRPr="007B0ED6" w:rsidRDefault="000278F8"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w:t>
      </w:r>
      <w:r w:rsidR="008849B1" w:rsidRPr="007B0ED6">
        <w:rPr>
          <w:rFonts w:ascii="PT Serif" w:hAnsi="PT Serif" w:cs="Times New Roman"/>
        </w:rPr>
        <w:t>Entre 2009 y 2015, el control de convencionalidad aún no se había adoptado plenamente, lo que permitió que los jueces militares continuaran conociendo casos de violaciones a derechos humanos. Aunque el expediente Varios 912/2010 (resuelto en 2014) estableció este deber para todas las autoridades judiciales, su implementación efectiva tardó cerca de cinco años desde la sentencia en Radilla Pacheco, lo que favoreció la persistencia de un marco normativo contrario a las disposiciones internacionales.</w:t>
      </w:r>
    </w:p>
  </w:footnote>
  <w:footnote w:id="15">
    <w:p w14:paraId="6F8EC129" w14:textId="2B01B2EE" w:rsidR="000B07C6" w:rsidRPr="007B0ED6" w:rsidRDefault="000B07C6"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Véase el </w:t>
      </w:r>
      <w:r w:rsidR="00BF5FEB" w:rsidRPr="007B0ED6">
        <w:rPr>
          <w:rFonts w:ascii="PT Serif" w:hAnsi="PT Serif" w:cs="Times New Roman"/>
        </w:rPr>
        <w:t xml:space="preserve">Decreto por el que se reforman y adicionan los artículos 13, 16, 21, 32, 55, 73, 76, 78, 82, 89, 123 y 129 de la Constitución Política de los Estados Unidos Mexicanos, en materia de Guardia Nacional de fecha 30 de septiembre de 2024. </w:t>
      </w:r>
    </w:p>
  </w:footnote>
  <w:footnote w:id="16">
    <w:p w14:paraId="3745796F" w14:textId="4B902B37" w:rsidR="000B07C6" w:rsidRPr="007B0ED6" w:rsidRDefault="000B07C6"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Véase el Decreto por el que por el que se reforma y adiciona el artículo 21 de la Constitución Política de los Estados Unidos Mexicanos, en materia de seguridad pública de fecha 31 de diciembre de 2024. </w:t>
      </w:r>
    </w:p>
  </w:footnote>
  <w:footnote w:id="17">
    <w:p w14:paraId="0C7EC914" w14:textId="6A184829" w:rsidR="00F05661" w:rsidRPr="007B0ED6" w:rsidRDefault="00F05661"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w:t>
      </w:r>
      <w:r w:rsidR="00324FF7" w:rsidRPr="007B0ED6">
        <w:rPr>
          <w:rFonts w:ascii="PT Serif" w:hAnsi="PT Serif" w:cs="Times New Roman"/>
        </w:rPr>
        <w:t xml:space="preserve">Considérese que el Estado mexicano ha sido condenado en casos como Tzompaxtle Tecpile y García Rodríguez, en los cuales se le ordenó reformar la Constitución Federal para eliminar la figura del arraigo y adecuar la prisión preventiva oficiosa a los estándares internacionales. Sin embargo, hasta la fecha, dichos mandamientos no han sido cumplidos; por el contrario, se ha profundizado la afectación a los derechos que se pretendían proteger, ya que recientes </w:t>
      </w:r>
      <w:r w:rsidR="002479D2" w:rsidRPr="007B0ED6">
        <w:rPr>
          <w:rFonts w:ascii="PT Serif" w:hAnsi="PT Serif" w:cs="Times New Roman"/>
        </w:rPr>
        <w:t>reformas</w:t>
      </w:r>
      <w:r w:rsidR="00324FF7" w:rsidRPr="007B0ED6">
        <w:rPr>
          <w:rFonts w:ascii="PT Serif" w:hAnsi="PT Serif" w:cs="Times New Roman"/>
        </w:rPr>
        <w:t xml:space="preserve"> han amplia</w:t>
      </w:r>
      <w:r w:rsidR="002479D2" w:rsidRPr="007B0ED6">
        <w:rPr>
          <w:rFonts w:ascii="PT Serif" w:hAnsi="PT Serif" w:cs="Times New Roman"/>
        </w:rPr>
        <w:t>do</w:t>
      </w:r>
      <w:r w:rsidR="00324FF7" w:rsidRPr="007B0ED6">
        <w:rPr>
          <w:rFonts w:ascii="PT Serif" w:hAnsi="PT Serif" w:cs="Times New Roman"/>
        </w:rPr>
        <w:t xml:space="preserve"> el catálogo de delitos que ameritan prisión preventiva oficiosa. Esta situación guarda similitud con el Caso Alvarado Espinoza, al evidenciar actos que desafían de manera directa los mandatos del Tribunal Interamericano. </w:t>
      </w:r>
    </w:p>
  </w:footnote>
  <w:footnote w:id="18">
    <w:p w14:paraId="60C79796" w14:textId="4AC5A961" w:rsidR="00850750" w:rsidRPr="007B0ED6" w:rsidRDefault="00850750"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Según el gobierno de México los elementos de la Guardia Nacional ascienden a 108,182 desplegados en toda la República. </w:t>
      </w:r>
      <w:r w:rsidR="002B6AE4" w:rsidRPr="007B0ED6">
        <w:rPr>
          <w:rFonts w:ascii="PT Serif" w:hAnsi="PT Serif" w:cs="Times New Roman"/>
        </w:rPr>
        <w:t xml:space="preserve">Véase la siguiente nota: </w:t>
      </w:r>
      <w:r w:rsidR="00807B2C" w:rsidRPr="007B0ED6">
        <w:rPr>
          <w:rFonts w:ascii="PT Serif" w:hAnsi="PT Serif" w:cs="Times New Roman"/>
        </w:rPr>
        <w:t>https://www.eleconomista.com.mx/politica/AMLO-21-estados-del-pais-tienen-mas-elementos-de-la-Guardia-Nacional-que-policias-estatales-20240625-0038.html#:~:text</w:t>
      </w:r>
    </w:p>
  </w:footnote>
  <w:footnote w:id="19">
    <w:p w14:paraId="1B37F50F" w14:textId="7A1CB8E0" w:rsidR="004529AE" w:rsidRPr="007B0ED6" w:rsidRDefault="004529AE" w:rsidP="007B0ED6">
      <w:pPr>
        <w:pStyle w:val="Textonotapie"/>
        <w:spacing w:before="60" w:after="60" w:line="276" w:lineRule="auto"/>
        <w:jc w:val="both"/>
        <w:rPr>
          <w:rFonts w:ascii="PT Serif" w:hAnsi="PT Serif"/>
        </w:rPr>
      </w:pPr>
      <w:r w:rsidRPr="007B0ED6">
        <w:rPr>
          <w:rStyle w:val="Refdenotaalpie"/>
          <w:rFonts w:ascii="PT Serif" w:hAnsi="PT Serif"/>
        </w:rPr>
        <w:footnoteRef/>
      </w:r>
      <w:r w:rsidRPr="007B0ED6">
        <w:rPr>
          <w:rFonts w:ascii="PT Serif" w:hAnsi="PT Serif"/>
        </w:rPr>
        <w:t xml:space="preserve"> </w:t>
      </w:r>
      <w:r w:rsidR="00120AC4" w:rsidRPr="007B0ED6">
        <w:rPr>
          <w:rFonts w:ascii="PT Serif" w:hAnsi="PT Serif"/>
        </w:rPr>
        <w:t>A</w:t>
      </w:r>
      <w:r w:rsidRPr="007B0ED6">
        <w:rPr>
          <w:rFonts w:ascii="PT Serif" w:hAnsi="PT Serif"/>
        </w:rPr>
        <w:t xml:space="preserve"> manera </w:t>
      </w:r>
      <w:r w:rsidR="005A2F29" w:rsidRPr="007B0ED6">
        <w:rPr>
          <w:rFonts w:ascii="PT Serif" w:hAnsi="PT Serif"/>
        </w:rPr>
        <w:t xml:space="preserve">de </w:t>
      </w:r>
      <w:r w:rsidRPr="007B0ED6">
        <w:rPr>
          <w:rFonts w:ascii="PT Serif" w:hAnsi="PT Serif"/>
        </w:rPr>
        <w:t>ampliar la ejemplificación de esta postura con criterios recientes</w:t>
      </w:r>
      <w:r w:rsidR="00120AC4" w:rsidRPr="007B0ED6">
        <w:rPr>
          <w:rFonts w:ascii="PT Serif" w:hAnsi="PT Serif"/>
        </w:rPr>
        <w:t xml:space="preserve">, se trae a colación el adoptado </w:t>
      </w:r>
      <w:r w:rsidRPr="007B0ED6">
        <w:rPr>
          <w:rFonts w:ascii="PT Serif" w:hAnsi="PT Serif"/>
        </w:rPr>
        <w:t xml:space="preserve">por </w:t>
      </w:r>
      <w:r w:rsidR="00C249CE" w:rsidRPr="007B0ED6">
        <w:rPr>
          <w:rFonts w:ascii="PT Serif" w:hAnsi="PT Serif"/>
        </w:rPr>
        <w:t xml:space="preserve">el Máximo Tribunal mexicano </w:t>
      </w:r>
      <w:r w:rsidRPr="007B0ED6">
        <w:rPr>
          <w:rFonts w:ascii="PT Serif" w:hAnsi="PT Serif"/>
        </w:rPr>
        <w:t>en la Tesis P./J. 2/2025, donde si bien se reconoce la relevancia jurídica de las opiniones consultivas de la CoIDH, se niega su carácter vinculante, privilegiando la normatividad interna. Esta decisión refleja la tensión que Krisch señala en torno a la crisis de legitimidad del derecho internacional: una interpretación formalista que limita el uso de herramientas externas más protectoras, reafirma el anclaje del derecho interno y subordina la voz internacional, aun cuando ésta podría fortalecer la respuesta del Estado. OPINIONES CONSULTIVAS DE LA CORTE INTERAMERICANA DE DERECHOS HUMANOS. NO SON JURÍDICAMENTE VINCULANTES PARA LAS PERSONAS JUZGADORAS MEXICANAS,  PERO GOZAN DE RELEVANCIA JURÍDICA. Tesis [J.]: P./J. 2/2025, Semanario judicial de la Federación, Undécima Época. Reg. digital 2030517</w:t>
      </w:r>
    </w:p>
  </w:footnote>
  <w:footnote w:id="20">
    <w:p w14:paraId="213016E2" w14:textId="1F22A44A" w:rsidR="001E15B9" w:rsidRPr="007B0ED6" w:rsidRDefault="001E15B9"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Ejemplo de ello son organizaciones como el Movimiento por Nuestros Desaparecidos en México (MNDM), o la Asociación Nacional de Familiares de Secuestrados, Detenidos y Desaparecidos del Perú (ANFASEP) cuya labor ha sido reconocida internacionalmente. </w:t>
      </w:r>
    </w:p>
  </w:footnote>
  <w:footnote w:id="21">
    <w:p w14:paraId="0E89959D" w14:textId="1EFA959C" w:rsidR="008B1B30" w:rsidRPr="007B0ED6" w:rsidRDefault="008B1B30"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No pasa desapercibida la existencia de lineamientos para el otorgamiento de subsidios a las entidades locales para realizar las acciones de búsqueda de persones que se han dado en México, sin embargo, los referidos no contemplan a las asociaciones civiles, por tanto, configuraría ser un avance el prever a estos grupos dentro de estas políticas bajo las razones que se mencionan en el párrafo correspondiente. </w:t>
      </w:r>
    </w:p>
  </w:footnote>
  <w:footnote w:id="22">
    <w:p w14:paraId="5CF1EC66" w14:textId="77777777" w:rsidR="00963D8D" w:rsidRPr="007B0ED6" w:rsidRDefault="00963D8D"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Tómese en cuenta que, en México, de conformidad con la Contradicción de Tesis 293/2011, la Suprema Corte estableció que toda la jurisprudencia emitida por la CoIDH sería vinculatoria para el Estado mexicano independientemente de que la misma fuera dirigida a otro país. </w:t>
      </w:r>
    </w:p>
  </w:footnote>
  <w:footnote w:id="23">
    <w:p w14:paraId="507D8156" w14:textId="5703582F" w:rsidR="00101D93" w:rsidRPr="007B0ED6" w:rsidRDefault="00101D93" w:rsidP="007B0ED6">
      <w:pPr>
        <w:pStyle w:val="Textonotapie"/>
        <w:spacing w:before="60" w:after="60" w:line="276" w:lineRule="auto"/>
        <w:jc w:val="both"/>
        <w:rPr>
          <w:rFonts w:ascii="PT Serif" w:hAnsi="PT Serif" w:cs="Times New Roman"/>
        </w:rPr>
      </w:pPr>
      <w:r w:rsidRPr="007B0ED6">
        <w:rPr>
          <w:rStyle w:val="Refdenotaalpie"/>
          <w:rFonts w:ascii="PT Serif" w:hAnsi="PT Serif" w:cs="Times New Roman"/>
        </w:rPr>
        <w:footnoteRef/>
      </w:r>
      <w:r w:rsidRPr="007B0ED6">
        <w:rPr>
          <w:rFonts w:ascii="PT Serif" w:hAnsi="PT Serif" w:cs="Times New Roman"/>
        </w:rPr>
        <w:t xml:space="preserve"> La Ley 393 de 1997 de Colombia es una norma específica que regula la acción de cumplimiento y establece mecanismos para hacer efectivas las decisiones de organismos internacionales, especialmente aquellas relacionadas con violaciones de derechos humanos (López, 2019, p. 228).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Pr="000430DB" w:rsidRDefault="00845EDE" w:rsidP="00845EDE">
    <w:pPr>
      <w:pStyle w:val="Encabezado"/>
      <w:jc w:val="center"/>
      <w:rPr>
        <w:rFonts w:ascii="Goudy Type" w:hAnsi="Goudy Type"/>
        <w:sz w:val="24"/>
        <w:szCs w:val="24"/>
      </w:rPr>
    </w:pPr>
  </w:p>
  <w:p w14:paraId="606AADDB" w14:textId="25CF06C0" w:rsidR="00DC601A" w:rsidRPr="00074E2D" w:rsidRDefault="0036111D" w:rsidP="002D57FD">
    <w:pPr>
      <w:pStyle w:val="Encabezado"/>
      <w:jc w:val="center"/>
      <w:rPr>
        <w:rFonts w:ascii="PT Serif" w:hAnsi="PT Serif"/>
        <w:sz w:val="20"/>
        <w:szCs w:val="20"/>
      </w:rPr>
    </w:pPr>
    <w:r w:rsidRPr="00074E2D">
      <w:rPr>
        <w:rFonts w:ascii="PT Serif" w:hAnsi="PT Serif"/>
        <w:sz w:val="20"/>
        <w:szCs w:val="20"/>
      </w:rPr>
      <w:t>Perú y México: Ineficacia de las sentencias de la Corte Interamericana en casos de desaparición forzada</w:t>
    </w:r>
  </w:p>
  <w:p w14:paraId="1A0A29B1" w14:textId="77777777" w:rsidR="00074E2D" w:rsidRDefault="00074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Pr="000430DB" w:rsidRDefault="00845EDE" w:rsidP="007C57AD">
    <w:pPr>
      <w:pStyle w:val="Encabezado"/>
      <w:jc w:val="center"/>
      <w:rPr>
        <w:rFonts w:ascii="Goudy Type" w:hAnsi="Goudy Type" w:cs="Times New Roman"/>
        <w:sz w:val="24"/>
        <w:szCs w:val="24"/>
      </w:rPr>
    </w:pPr>
  </w:p>
  <w:p w14:paraId="5407A5C8" w14:textId="6E48A311" w:rsidR="008D39E6" w:rsidRPr="000430DB" w:rsidRDefault="002D57FD" w:rsidP="00845EDE">
    <w:pPr>
      <w:pStyle w:val="Encabezado"/>
      <w:jc w:val="center"/>
      <w:rPr>
        <w:rFonts w:ascii="PT Serif" w:hAnsi="PT Serif" w:cs="Times New Roman"/>
        <w:sz w:val="20"/>
        <w:szCs w:val="20"/>
      </w:rPr>
    </w:pPr>
    <w:r w:rsidRPr="000430DB">
      <w:rPr>
        <w:rFonts w:ascii="PT Serif" w:hAnsi="PT Serif" w:cs="Times New Roman"/>
        <w:sz w:val="20"/>
        <w:szCs w:val="20"/>
      </w:rPr>
      <w:t xml:space="preserve">José Jafet </w:t>
    </w:r>
    <w:r w:rsidR="00410ABC" w:rsidRPr="000430DB">
      <w:rPr>
        <w:rFonts w:ascii="PT Serif" w:hAnsi="PT Serif" w:cs="Times New Roman"/>
        <w:sz w:val="20"/>
        <w:szCs w:val="20"/>
      </w:rPr>
      <w:t>Noriega Zamudio</w:t>
    </w:r>
  </w:p>
  <w:p w14:paraId="64BEB1DD" w14:textId="5EC44BCD" w:rsidR="002D57FD" w:rsidRPr="000430DB" w:rsidRDefault="002D57FD" w:rsidP="00845EDE">
    <w:pPr>
      <w:pStyle w:val="Encabezado"/>
      <w:jc w:val="center"/>
      <w:rPr>
        <w:rFonts w:ascii="PT Serif" w:hAnsi="PT Serif"/>
        <w:sz w:val="20"/>
        <w:szCs w:val="20"/>
      </w:rPr>
    </w:pPr>
    <w:r w:rsidRPr="000430DB">
      <w:rPr>
        <w:rFonts w:ascii="PT Serif" w:hAnsi="PT Serif" w:cs="Times New Roman"/>
        <w:sz w:val="20"/>
        <w:szCs w:val="20"/>
      </w:rPr>
      <w:t>Diego Abraham</w:t>
    </w:r>
    <w:r w:rsidR="00410ABC" w:rsidRPr="000430DB">
      <w:rPr>
        <w:rFonts w:ascii="PT Serif" w:hAnsi="PT Serif" w:cs="Times New Roman"/>
        <w:sz w:val="20"/>
        <w:szCs w:val="20"/>
      </w:rPr>
      <w:t xml:space="preserve"> Nuñez Aguirre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Pr="000430DB" w:rsidRDefault="00CF5D13" w:rsidP="00CF5D13">
    <w:pPr>
      <w:pStyle w:val="Encabezado"/>
      <w:rPr>
        <w:rFonts w:ascii="Goudy Type" w:hAnsi="Goudy Type" w:cs="Times New Roman"/>
        <w:sz w:val="24"/>
        <w:szCs w:val="24"/>
      </w:rPr>
    </w:pPr>
  </w:p>
  <w:p w14:paraId="0483A9ED" w14:textId="1D1BD424" w:rsidR="00CF5D13" w:rsidRPr="000430DB"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B170DE"/>
    <w:multiLevelType w:val="hybridMultilevel"/>
    <w:tmpl w:val="4162B908"/>
    <w:lvl w:ilvl="0" w:tplc="D43E0B06">
      <w:start w:val="1"/>
      <w:numFmt w:val="decimal"/>
      <w:lvlText w:val="%1."/>
      <w:lvlJc w:val="left"/>
      <w:pPr>
        <w:ind w:left="723" w:hanging="360"/>
      </w:pPr>
      <w:rPr>
        <w:rFonts w:hint="default"/>
        <w:i w:val="0"/>
      </w:r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2" w15:restartNumberingAfterBreak="0">
    <w:nsid w:val="04915041"/>
    <w:multiLevelType w:val="hybridMultilevel"/>
    <w:tmpl w:val="90AA70CE"/>
    <w:lvl w:ilvl="0" w:tplc="3B0A4500">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3" w15:restartNumberingAfterBreak="0">
    <w:nsid w:val="070B66B6"/>
    <w:multiLevelType w:val="hybridMultilevel"/>
    <w:tmpl w:val="34A02452"/>
    <w:lvl w:ilvl="0" w:tplc="0CD828E4">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4" w15:restartNumberingAfterBreak="0">
    <w:nsid w:val="0A080FA1"/>
    <w:multiLevelType w:val="hybridMultilevel"/>
    <w:tmpl w:val="87228A86"/>
    <w:lvl w:ilvl="0" w:tplc="069CDF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A11507F"/>
    <w:multiLevelType w:val="hybridMultilevel"/>
    <w:tmpl w:val="16D06A68"/>
    <w:lvl w:ilvl="0" w:tplc="8EC22460">
      <w:start w:val="1"/>
      <w:numFmt w:val="decimal"/>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7"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16E86C60"/>
    <w:multiLevelType w:val="hybridMultilevel"/>
    <w:tmpl w:val="93A212F2"/>
    <w:lvl w:ilvl="0" w:tplc="3A8C87F2">
      <w:start w:val="1"/>
      <w:numFmt w:val="decimal"/>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E4910BF"/>
    <w:multiLevelType w:val="hybridMultilevel"/>
    <w:tmpl w:val="A7921774"/>
    <w:lvl w:ilvl="0" w:tplc="6B0C0546">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1"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64D1F8E"/>
    <w:multiLevelType w:val="hybridMultilevel"/>
    <w:tmpl w:val="E68A035E"/>
    <w:lvl w:ilvl="0" w:tplc="9D90202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6774CF7"/>
    <w:multiLevelType w:val="hybridMultilevel"/>
    <w:tmpl w:val="B5700C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A837AB"/>
    <w:multiLevelType w:val="hybridMultilevel"/>
    <w:tmpl w:val="177652CA"/>
    <w:lvl w:ilvl="0" w:tplc="7304C50C">
      <w:start w:val="1"/>
      <w:numFmt w:val="decimal"/>
      <w:lvlText w:val="%1."/>
      <w:lvlJc w:val="left"/>
      <w:pPr>
        <w:ind w:left="1437" w:hanging="360"/>
      </w:pPr>
      <w:rPr>
        <w:rFonts w:hint="default"/>
        <w:i/>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5" w15:restartNumberingAfterBreak="0">
    <w:nsid w:val="30586648"/>
    <w:multiLevelType w:val="hybridMultilevel"/>
    <w:tmpl w:val="0DA03046"/>
    <w:lvl w:ilvl="0" w:tplc="AB64C5F6">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6"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15:restartNumberingAfterBreak="0">
    <w:nsid w:val="31D56420"/>
    <w:multiLevelType w:val="hybridMultilevel"/>
    <w:tmpl w:val="595CB880"/>
    <w:lvl w:ilvl="0" w:tplc="132CD9CE">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8" w15:restartNumberingAfterBreak="0">
    <w:nsid w:val="33DD71F5"/>
    <w:multiLevelType w:val="hybridMultilevel"/>
    <w:tmpl w:val="78885E8E"/>
    <w:lvl w:ilvl="0" w:tplc="FFFFFFFF">
      <w:start w:val="1"/>
      <w:numFmt w:val="upperRoman"/>
      <w:lvlText w:val="%1."/>
      <w:lvlJc w:val="left"/>
      <w:pPr>
        <w:ind w:left="1080" w:hanging="720"/>
      </w:pPr>
      <w:rPr>
        <w:rFonts w:hint="default"/>
        <w:b/>
        <w:bCs/>
        <w:i/>
        <w:iCs/>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568FD"/>
    <w:multiLevelType w:val="hybridMultilevel"/>
    <w:tmpl w:val="8C02A344"/>
    <w:lvl w:ilvl="0" w:tplc="765E88E8">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20"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1" w15:restartNumberingAfterBreak="0">
    <w:nsid w:val="51BA05D1"/>
    <w:multiLevelType w:val="hybridMultilevel"/>
    <w:tmpl w:val="DAD47A6E"/>
    <w:lvl w:ilvl="0" w:tplc="9D5C55EC">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614194"/>
    <w:multiLevelType w:val="hybridMultilevel"/>
    <w:tmpl w:val="78885E8E"/>
    <w:lvl w:ilvl="0" w:tplc="F7BECC2C">
      <w:start w:val="1"/>
      <w:numFmt w:val="upperRoman"/>
      <w:lvlText w:val="%1."/>
      <w:lvlJc w:val="left"/>
      <w:pPr>
        <w:ind w:left="1080" w:hanging="720"/>
      </w:pPr>
      <w:rPr>
        <w:rFonts w:hint="default"/>
        <w:b/>
        <w:bCs/>
        <w:i/>
        <w:iCs/>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C090DF7"/>
    <w:multiLevelType w:val="multilevel"/>
    <w:tmpl w:val="39D04AD6"/>
    <w:styleLink w:val="Listaactual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75D3AB5"/>
    <w:multiLevelType w:val="hybridMultilevel"/>
    <w:tmpl w:val="9D7E6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AE35BE3"/>
    <w:multiLevelType w:val="hybridMultilevel"/>
    <w:tmpl w:val="58A07504"/>
    <w:lvl w:ilvl="0" w:tplc="633A0DBC">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27" w15:restartNumberingAfterBreak="0">
    <w:nsid w:val="6BAB469D"/>
    <w:multiLevelType w:val="hybridMultilevel"/>
    <w:tmpl w:val="9642ECB2"/>
    <w:lvl w:ilvl="0" w:tplc="F6E4175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DCB4DC5"/>
    <w:multiLevelType w:val="hybridMultilevel"/>
    <w:tmpl w:val="B3DA639C"/>
    <w:lvl w:ilvl="0" w:tplc="82520E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1C438F5"/>
    <w:multiLevelType w:val="hybridMultilevel"/>
    <w:tmpl w:val="8ADE0C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D444E4"/>
    <w:multiLevelType w:val="hybridMultilevel"/>
    <w:tmpl w:val="39D04A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902528344">
    <w:abstractNumId w:val="11"/>
  </w:num>
  <w:num w:numId="2" w16cid:durableId="1096291768">
    <w:abstractNumId w:val="22"/>
  </w:num>
  <w:num w:numId="3" w16cid:durableId="1459101823">
    <w:abstractNumId w:val="9"/>
  </w:num>
  <w:num w:numId="4" w16cid:durableId="2045977194">
    <w:abstractNumId w:val="0"/>
  </w:num>
  <w:num w:numId="5" w16cid:durableId="881022248">
    <w:abstractNumId w:val="25"/>
  </w:num>
  <w:num w:numId="6" w16cid:durableId="1092042239">
    <w:abstractNumId w:val="6"/>
  </w:num>
  <w:num w:numId="7" w16cid:durableId="2018850234">
    <w:abstractNumId w:val="16"/>
  </w:num>
  <w:num w:numId="8" w16cid:durableId="670370573">
    <w:abstractNumId w:val="29"/>
  </w:num>
  <w:num w:numId="9" w16cid:durableId="2096510018">
    <w:abstractNumId w:val="20"/>
  </w:num>
  <w:num w:numId="10" w16cid:durableId="1861236682">
    <w:abstractNumId w:val="7"/>
  </w:num>
  <w:num w:numId="11" w16cid:durableId="1847942191">
    <w:abstractNumId w:val="13"/>
  </w:num>
  <w:num w:numId="12" w16cid:durableId="564419377">
    <w:abstractNumId w:val="26"/>
  </w:num>
  <w:num w:numId="13" w16cid:durableId="641615029">
    <w:abstractNumId w:val="2"/>
  </w:num>
  <w:num w:numId="14" w16cid:durableId="754980103">
    <w:abstractNumId w:val="1"/>
  </w:num>
  <w:num w:numId="15" w16cid:durableId="599141660">
    <w:abstractNumId w:val="19"/>
  </w:num>
  <w:num w:numId="16" w16cid:durableId="1230575448">
    <w:abstractNumId w:val="10"/>
  </w:num>
  <w:num w:numId="17" w16cid:durableId="389571579">
    <w:abstractNumId w:val="8"/>
  </w:num>
  <w:num w:numId="18" w16cid:durableId="963465511">
    <w:abstractNumId w:val="3"/>
  </w:num>
  <w:num w:numId="19" w16cid:durableId="853761998">
    <w:abstractNumId w:val="14"/>
  </w:num>
  <w:num w:numId="20" w16cid:durableId="104809656">
    <w:abstractNumId w:val="18"/>
  </w:num>
  <w:num w:numId="21" w16cid:durableId="46607064">
    <w:abstractNumId w:val="21"/>
  </w:num>
  <w:num w:numId="22" w16cid:durableId="1024482868">
    <w:abstractNumId w:val="5"/>
  </w:num>
  <w:num w:numId="23" w16cid:durableId="1607931640">
    <w:abstractNumId w:val="12"/>
  </w:num>
  <w:num w:numId="24" w16cid:durableId="116413043">
    <w:abstractNumId w:val="15"/>
  </w:num>
  <w:num w:numId="25" w16cid:durableId="1638488056">
    <w:abstractNumId w:val="17"/>
  </w:num>
  <w:num w:numId="26" w16cid:durableId="578829090">
    <w:abstractNumId w:val="30"/>
  </w:num>
  <w:num w:numId="27" w16cid:durableId="340545327">
    <w:abstractNumId w:val="27"/>
  </w:num>
  <w:num w:numId="28" w16cid:durableId="1118178027">
    <w:abstractNumId w:val="31"/>
  </w:num>
  <w:num w:numId="29" w16cid:durableId="1501390302">
    <w:abstractNumId w:val="28"/>
  </w:num>
  <w:num w:numId="30" w16cid:durableId="1748763166">
    <w:abstractNumId w:val="23"/>
  </w:num>
  <w:num w:numId="31" w16cid:durableId="992172907">
    <w:abstractNumId w:val="24"/>
  </w:num>
  <w:num w:numId="32" w16cid:durableId="165749117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187D"/>
    <w:rsid w:val="00003771"/>
    <w:rsid w:val="000063B3"/>
    <w:rsid w:val="000068A1"/>
    <w:rsid w:val="00006D6B"/>
    <w:rsid w:val="00007D07"/>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1E"/>
    <w:rsid w:val="00022440"/>
    <w:rsid w:val="000235E9"/>
    <w:rsid w:val="00024461"/>
    <w:rsid w:val="00024E56"/>
    <w:rsid w:val="0002527A"/>
    <w:rsid w:val="00027525"/>
    <w:rsid w:val="000278F8"/>
    <w:rsid w:val="000313EA"/>
    <w:rsid w:val="00031751"/>
    <w:rsid w:val="00031AE5"/>
    <w:rsid w:val="00031BC3"/>
    <w:rsid w:val="0003256E"/>
    <w:rsid w:val="000337FE"/>
    <w:rsid w:val="000350D4"/>
    <w:rsid w:val="000357FE"/>
    <w:rsid w:val="000359FF"/>
    <w:rsid w:val="000400E9"/>
    <w:rsid w:val="00042F4D"/>
    <w:rsid w:val="000430DB"/>
    <w:rsid w:val="000443E5"/>
    <w:rsid w:val="0004481A"/>
    <w:rsid w:val="00044E88"/>
    <w:rsid w:val="000456AF"/>
    <w:rsid w:val="00045C9F"/>
    <w:rsid w:val="00045CD7"/>
    <w:rsid w:val="000500E9"/>
    <w:rsid w:val="0005060B"/>
    <w:rsid w:val="000509F0"/>
    <w:rsid w:val="00052F83"/>
    <w:rsid w:val="00053707"/>
    <w:rsid w:val="000537FE"/>
    <w:rsid w:val="00053F29"/>
    <w:rsid w:val="00055150"/>
    <w:rsid w:val="00055182"/>
    <w:rsid w:val="000622CA"/>
    <w:rsid w:val="00062C6D"/>
    <w:rsid w:val="00062F6C"/>
    <w:rsid w:val="0006342C"/>
    <w:rsid w:val="0006376F"/>
    <w:rsid w:val="000641D6"/>
    <w:rsid w:val="00064C99"/>
    <w:rsid w:val="00064E6C"/>
    <w:rsid w:val="000650B0"/>
    <w:rsid w:val="00065F37"/>
    <w:rsid w:val="00067E8A"/>
    <w:rsid w:val="0007043B"/>
    <w:rsid w:val="00070477"/>
    <w:rsid w:val="00071F04"/>
    <w:rsid w:val="00071FA3"/>
    <w:rsid w:val="000727EC"/>
    <w:rsid w:val="00073442"/>
    <w:rsid w:val="00073A7A"/>
    <w:rsid w:val="000743EA"/>
    <w:rsid w:val="00074E2D"/>
    <w:rsid w:val="000751C6"/>
    <w:rsid w:val="000751CF"/>
    <w:rsid w:val="00076311"/>
    <w:rsid w:val="0007648E"/>
    <w:rsid w:val="00076F49"/>
    <w:rsid w:val="00077929"/>
    <w:rsid w:val="000803CF"/>
    <w:rsid w:val="0008054C"/>
    <w:rsid w:val="00081490"/>
    <w:rsid w:val="00081730"/>
    <w:rsid w:val="00081BCD"/>
    <w:rsid w:val="0008234E"/>
    <w:rsid w:val="00082C1D"/>
    <w:rsid w:val="00083B29"/>
    <w:rsid w:val="00083CA4"/>
    <w:rsid w:val="00084EBD"/>
    <w:rsid w:val="00084EE4"/>
    <w:rsid w:val="00084FD2"/>
    <w:rsid w:val="0008500F"/>
    <w:rsid w:val="00086090"/>
    <w:rsid w:val="000862C6"/>
    <w:rsid w:val="000866E5"/>
    <w:rsid w:val="000873D4"/>
    <w:rsid w:val="00087B2B"/>
    <w:rsid w:val="00087BDE"/>
    <w:rsid w:val="00087DB5"/>
    <w:rsid w:val="00087F1A"/>
    <w:rsid w:val="00090760"/>
    <w:rsid w:val="00090E82"/>
    <w:rsid w:val="000915F3"/>
    <w:rsid w:val="00091A24"/>
    <w:rsid w:val="0009282E"/>
    <w:rsid w:val="00093E65"/>
    <w:rsid w:val="00093F74"/>
    <w:rsid w:val="0009494C"/>
    <w:rsid w:val="00095C06"/>
    <w:rsid w:val="000A081A"/>
    <w:rsid w:val="000A20A7"/>
    <w:rsid w:val="000A38D2"/>
    <w:rsid w:val="000A42CE"/>
    <w:rsid w:val="000A7C59"/>
    <w:rsid w:val="000B07C6"/>
    <w:rsid w:val="000B1BE3"/>
    <w:rsid w:val="000B1BE4"/>
    <w:rsid w:val="000B3637"/>
    <w:rsid w:val="000B3BB3"/>
    <w:rsid w:val="000B3C94"/>
    <w:rsid w:val="000B43D9"/>
    <w:rsid w:val="000B4F12"/>
    <w:rsid w:val="000B50A8"/>
    <w:rsid w:val="000B6347"/>
    <w:rsid w:val="000B7241"/>
    <w:rsid w:val="000B7F8F"/>
    <w:rsid w:val="000C0541"/>
    <w:rsid w:val="000C2483"/>
    <w:rsid w:val="000C2901"/>
    <w:rsid w:val="000C30A1"/>
    <w:rsid w:val="000C37C6"/>
    <w:rsid w:val="000C4B30"/>
    <w:rsid w:val="000C5787"/>
    <w:rsid w:val="000C59D4"/>
    <w:rsid w:val="000C669C"/>
    <w:rsid w:val="000C6A2A"/>
    <w:rsid w:val="000D137F"/>
    <w:rsid w:val="000D14D4"/>
    <w:rsid w:val="000D3F86"/>
    <w:rsid w:val="000D5B43"/>
    <w:rsid w:val="000D6183"/>
    <w:rsid w:val="000E0407"/>
    <w:rsid w:val="000E0F2A"/>
    <w:rsid w:val="000E2144"/>
    <w:rsid w:val="000E5AD2"/>
    <w:rsid w:val="000E6DCF"/>
    <w:rsid w:val="000E798E"/>
    <w:rsid w:val="000F01E0"/>
    <w:rsid w:val="000F2941"/>
    <w:rsid w:val="000F2FA6"/>
    <w:rsid w:val="000F3A10"/>
    <w:rsid w:val="000F3E09"/>
    <w:rsid w:val="000F3FBB"/>
    <w:rsid w:val="000F4E73"/>
    <w:rsid w:val="000F6076"/>
    <w:rsid w:val="00101D93"/>
    <w:rsid w:val="0010646B"/>
    <w:rsid w:val="0010671C"/>
    <w:rsid w:val="001069D8"/>
    <w:rsid w:val="00106B97"/>
    <w:rsid w:val="00106F62"/>
    <w:rsid w:val="0010739B"/>
    <w:rsid w:val="00107514"/>
    <w:rsid w:val="00111AF9"/>
    <w:rsid w:val="00112B12"/>
    <w:rsid w:val="00112C34"/>
    <w:rsid w:val="001140D6"/>
    <w:rsid w:val="0011727F"/>
    <w:rsid w:val="00120AC4"/>
    <w:rsid w:val="001214FE"/>
    <w:rsid w:val="001215EB"/>
    <w:rsid w:val="00123621"/>
    <w:rsid w:val="00123E55"/>
    <w:rsid w:val="0012422B"/>
    <w:rsid w:val="00124E90"/>
    <w:rsid w:val="00126C15"/>
    <w:rsid w:val="00126D40"/>
    <w:rsid w:val="00127347"/>
    <w:rsid w:val="001277D4"/>
    <w:rsid w:val="00130551"/>
    <w:rsid w:val="001305F9"/>
    <w:rsid w:val="00130883"/>
    <w:rsid w:val="00131B84"/>
    <w:rsid w:val="001321DA"/>
    <w:rsid w:val="001329FF"/>
    <w:rsid w:val="00132AA9"/>
    <w:rsid w:val="001343EF"/>
    <w:rsid w:val="00135F8A"/>
    <w:rsid w:val="00136E85"/>
    <w:rsid w:val="0014066C"/>
    <w:rsid w:val="00140F37"/>
    <w:rsid w:val="00141A15"/>
    <w:rsid w:val="0014262A"/>
    <w:rsid w:val="001432DD"/>
    <w:rsid w:val="0014347E"/>
    <w:rsid w:val="00143F52"/>
    <w:rsid w:val="00145001"/>
    <w:rsid w:val="00146CA6"/>
    <w:rsid w:val="00147721"/>
    <w:rsid w:val="00150A7F"/>
    <w:rsid w:val="00150C3D"/>
    <w:rsid w:val="001537E1"/>
    <w:rsid w:val="00153DBD"/>
    <w:rsid w:val="0015585D"/>
    <w:rsid w:val="0015604E"/>
    <w:rsid w:val="00156E36"/>
    <w:rsid w:val="00157DF3"/>
    <w:rsid w:val="00160DDD"/>
    <w:rsid w:val="00161295"/>
    <w:rsid w:val="00164183"/>
    <w:rsid w:val="001661E4"/>
    <w:rsid w:val="00166BDB"/>
    <w:rsid w:val="00166C4A"/>
    <w:rsid w:val="00167177"/>
    <w:rsid w:val="001673CE"/>
    <w:rsid w:val="00167ACF"/>
    <w:rsid w:val="00170399"/>
    <w:rsid w:val="00171AF5"/>
    <w:rsid w:val="001745D7"/>
    <w:rsid w:val="001746DE"/>
    <w:rsid w:val="001746E0"/>
    <w:rsid w:val="00174C6E"/>
    <w:rsid w:val="001752C2"/>
    <w:rsid w:val="00176080"/>
    <w:rsid w:val="0017651E"/>
    <w:rsid w:val="00177F9E"/>
    <w:rsid w:val="00180077"/>
    <w:rsid w:val="00183618"/>
    <w:rsid w:val="00183FE3"/>
    <w:rsid w:val="00184934"/>
    <w:rsid w:val="00190019"/>
    <w:rsid w:val="0019003A"/>
    <w:rsid w:val="00191960"/>
    <w:rsid w:val="001929AD"/>
    <w:rsid w:val="00192AF4"/>
    <w:rsid w:val="00192CF5"/>
    <w:rsid w:val="00193F4A"/>
    <w:rsid w:val="00194336"/>
    <w:rsid w:val="001966B5"/>
    <w:rsid w:val="00196C21"/>
    <w:rsid w:val="0019733A"/>
    <w:rsid w:val="00197681"/>
    <w:rsid w:val="00197F5D"/>
    <w:rsid w:val="001A030B"/>
    <w:rsid w:val="001A0E7F"/>
    <w:rsid w:val="001A12B8"/>
    <w:rsid w:val="001A4900"/>
    <w:rsid w:val="001A526E"/>
    <w:rsid w:val="001A64F7"/>
    <w:rsid w:val="001A68E4"/>
    <w:rsid w:val="001A699E"/>
    <w:rsid w:val="001A742C"/>
    <w:rsid w:val="001A7A0D"/>
    <w:rsid w:val="001B0357"/>
    <w:rsid w:val="001B03E0"/>
    <w:rsid w:val="001B11C6"/>
    <w:rsid w:val="001B2976"/>
    <w:rsid w:val="001B2D9F"/>
    <w:rsid w:val="001B3A1D"/>
    <w:rsid w:val="001B48F0"/>
    <w:rsid w:val="001B65C3"/>
    <w:rsid w:val="001B6CD5"/>
    <w:rsid w:val="001B7C38"/>
    <w:rsid w:val="001C00F4"/>
    <w:rsid w:val="001C049B"/>
    <w:rsid w:val="001C0F8B"/>
    <w:rsid w:val="001C11A5"/>
    <w:rsid w:val="001C3CC7"/>
    <w:rsid w:val="001C4259"/>
    <w:rsid w:val="001C55B7"/>
    <w:rsid w:val="001C6274"/>
    <w:rsid w:val="001D0AD2"/>
    <w:rsid w:val="001D4198"/>
    <w:rsid w:val="001D5258"/>
    <w:rsid w:val="001D54B3"/>
    <w:rsid w:val="001D575C"/>
    <w:rsid w:val="001D58D6"/>
    <w:rsid w:val="001D7287"/>
    <w:rsid w:val="001D73D5"/>
    <w:rsid w:val="001E15B9"/>
    <w:rsid w:val="001E1C6B"/>
    <w:rsid w:val="001E23ED"/>
    <w:rsid w:val="001E2F2B"/>
    <w:rsid w:val="001E32FB"/>
    <w:rsid w:val="001E3E4C"/>
    <w:rsid w:val="001E5F93"/>
    <w:rsid w:val="001E6823"/>
    <w:rsid w:val="001F0FF9"/>
    <w:rsid w:val="001F1B42"/>
    <w:rsid w:val="001F1DE2"/>
    <w:rsid w:val="001F3F57"/>
    <w:rsid w:val="001F4A6F"/>
    <w:rsid w:val="001F57FB"/>
    <w:rsid w:val="001F59A2"/>
    <w:rsid w:val="001F6874"/>
    <w:rsid w:val="001F687D"/>
    <w:rsid w:val="001F7938"/>
    <w:rsid w:val="002004E6"/>
    <w:rsid w:val="002015FE"/>
    <w:rsid w:val="002028E9"/>
    <w:rsid w:val="00203585"/>
    <w:rsid w:val="00204339"/>
    <w:rsid w:val="00205DA6"/>
    <w:rsid w:val="00205EB7"/>
    <w:rsid w:val="00206D8A"/>
    <w:rsid w:val="00207297"/>
    <w:rsid w:val="00207456"/>
    <w:rsid w:val="002074D0"/>
    <w:rsid w:val="00207E51"/>
    <w:rsid w:val="00210A04"/>
    <w:rsid w:val="002116AA"/>
    <w:rsid w:val="00212A80"/>
    <w:rsid w:val="00212D56"/>
    <w:rsid w:val="002131AA"/>
    <w:rsid w:val="00213357"/>
    <w:rsid w:val="002137F5"/>
    <w:rsid w:val="002139A6"/>
    <w:rsid w:val="00213E25"/>
    <w:rsid w:val="002151B0"/>
    <w:rsid w:val="00215896"/>
    <w:rsid w:val="00217742"/>
    <w:rsid w:val="00217AC6"/>
    <w:rsid w:val="002214B5"/>
    <w:rsid w:val="002217A6"/>
    <w:rsid w:val="00222432"/>
    <w:rsid w:val="0022269B"/>
    <w:rsid w:val="002227E8"/>
    <w:rsid w:val="00223660"/>
    <w:rsid w:val="00223B47"/>
    <w:rsid w:val="00225DAC"/>
    <w:rsid w:val="00226CCF"/>
    <w:rsid w:val="00230BDE"/>
    <w:rsid w:val="00231C0B"/>
    <w:rsid w:val="00231DD0"/>
    <w:rsid w:val="002320C6"/>
    <w:rsid w:val="0023380C"/>
    <w:rsid w:val="0023440D"/>
    <w:rsid w:val="00235696"/>
    <w:rsid w:val="00235A14"/>
    <w:rsid w:val="00236EA6"/>
    <w:rsid w:val="00237068"/>
    <w:rsid w:val="002402E5"/>
    <w:rsid w:val="00240B1F"/>
    <w:rsid w:val="00242A21"/>
    <w:rsid w:val="00243297"/>
    <w:rsid w:val="00243C42"/>
    <w:rsid w:val="00244811"/>
    <w:rsid w:val="002454B5"/>
    <w:rsid w:val="00245F12"/>
    <w:rsid w:val="002460B2"/>
    <w:rsid w:val="00246ACC"/>
    <w:rsid w:val="00246E51"/>
    <w:rsid w:val="002479D2"/>
    <w:rsid w:val="002506D1"/>
    <w:rsid w:val="00250F45"/>
    <w:rsid w:val="002522FC"/>
    <w:rsid w:val="002541C0"/>
    <w:rsid w:val="0025466A"/>
    <w:rsid w:val="0025496D"/>
    <w:rsid w:val="00255425"/>
    <w:rsid w:val="00256BA9"/>
    <w:rsid w:val="00260CA6"/>
    <w:rsid w:val="002615D7"/>
    <w:rsid w:val="00262E3C"/>
    <w:rsid w:val="00263F12"/>
    <w:rsid w:val="00264A7B"/>
    <w:rsid w:val="00264F5F"/>
    <w:rsid w:val="00265269"/>
    <w:rsid w:val="00267C0B"/>
    <w:rsid w:val="002702A0"/>
    <w:rsid w:val="0027182C"/>
    <w:rsid w:val="00271AEA"/>
    <w:rsid w:val="00271D72"/>
    <w:rsid w:val="00273006"/>
    <w:rsid w:val="00274E92"/>
    <w:rsid w:val="00275A9A"/>
    <w:rsid w:val="0027652A"/>
    <w:rsid w:val="00276A41"/>
    <w:rsid w:val="0027753E"/>
    <w:rsid w:val="00277A0F"/>
    <w:rsid w:val="00277C2A"/>
    <w:rsid w:val="002801DB"/>
    <w:rsid w:val="002802F8"/>
    <w:rsid w:val="00281C97"/>
    <w:rsid w:val="00281D03"/>
    <w:rsid w:val="00281E3B"/>
    <w:rsid w:val="00282104"/>
    <w:rsid w:val="00284688"/>
    <w:rsid w:val="00284B3D"/>
    <w:rsid w:val="0028634D"/>
    <w:rsid w:val="002863FD"/>
    <w:rsid w:val="00286F3C"/>
    <w:rsid w:val="00290C0B"/>
    <w:rsid w:val="00291A17"/>
    <w:rsid w:val="00292FA1"/>
    <w:rsid w:val="0029320B"/>
    <w:rsid w:val="00293780"/>
    <w:rsid w:val="00293D52"/>
    <w:rsid w:val="002947E9"/>
    <w:rsid w:val="00295886"/>
    <w:rsid w:val="002962E9"/>
    <w:rsid w:val="00296698"/>
    <w:rsid w:val="002975CB"/>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5D1"/>
    <w:rsid w:val="002B1865"/>
    <w:rsid w:val="002B18B1"/>
    <w:rsid w:val="002B3D72"/>
    <w:rsid w:val="002B677B"/>
    <w:rsid w:val="002B6AE4"/>
    <w:rsid w:val="002B6AF1"/>
    <w:rsid w:val="002B6E4F"/>
    <w:rsid w:val="002B7319"/>
    <w:rsid w:val="002B7420"/>
    <w:rsid w:val="002C0900"/>
    <w:rsid w:val="002C1144"/>
    <w:rsid w:val="002C1CBA"/>
    <w:rsid w:val="002C2260"/>
    <w:rsid w:val="002C2EB6"/>
    <w:rsid w:val="002C5503"/>
    <w:rsid w:val="002C6E08"/>
    <w:rsid w:val="002D0C9E"/>
    <w:rsid w:val="002D1596"/>
    <w:rsid w:val="002D1C1F"/>
    <w:rsid w:val="002D238C"/>
    <w:rsid w:val="002D2AAF"/>
    <w:rsid w:val="002D2DE5"/>
    <w:rsid w:val="002D3720"/>
    <w:rsid w:val="002D3F17"/>
    <w:rsid w:val="002D4CBF"/>
    <w:rsid w:val="002D5417"/>
    <w:rsid w:val="002D57FD"/>
    <w:rsid w:val="002D5D35"/>
    <w:rsid w:val="002D63ED"/>
    <w:rsid w:val="002D663A"/>
    <w:rsid w:val="002E0119"/>
    <w:rsid w:val="002E1693"/>
    <w:rsid w:val="002E1C77"/>
    <w:rsid w:val="002E32EC"/>
    <w:rsid w:val="002E362E"/>
    <w:rsid w:val="002E532F"/>
    <w:rsid w:val="002E5FE2"/>
    <w:rsid w:val="002E63EA"/>
    <w:rsid w:val="002E7242"/>
    <w:rsid w:val="002E769B"/>
    <w:rsid w:val="002E77AC"/>
    <w:rsid w:val="002E77FC"/>
    <w:rsid w:val="002E78A3"/>
    <w:rsid w:val="002F18B7"/>
    <w:rsid w:val="002F3931"/>
    <w:rsid w:val="002F3E62"/>
    <w:rsid w:val="002F5936"/>
    <w:rsid w:val="002F5DBD"/>
    <w:rsid w:val="00300031"/>
    <w:rsid w:val="00300292"/>
    <w:rsid w:val="0030045D"/>
    <w:rsid w:val="00300AF1"/>
    <w:rsid w:val="00300C92"/>
    <w:rsid w:val="0030154E"/>
    <w:rsid w:val="00302629"/>
    <w:rsid w:val="003033C8"/>
    <w:rsid w:val="00305E61"/>
    <w:rsid w:val="00311B4F"/>
    <w:rsid w:val="00311EEB"/>
    <w:rsid w:val="003121CC"/>
    <w:rsid w:val="00315C5A"/>
    <w:rsid w:val="0031637B"/>
    <w:rsid w:val="00316700"/>
    <w:rsid w:val="00317124"/>
    <w:rsid w:val="003172E6"/>
    <w:rsid w:val="00317800"/>
    <w:rsid w:val="0032066D"/>
    <w:rsid w:val="0032410D"/>
    <w:rsid w:val="00324FF7"/>
    <w:rsid w:val="00325780"/>
    <w:rsid w:val="00326040"/>
    <w:rsid w:val="003261C1"/>
    <w:rsid w:val="0032674D"/>
    <w:rsid w:val="0032763D"/>
    <w:rsid w:val="0032799F"/>
    <w:rsid w:val="00331087"/>
    <w:rsid w:val="003310C1"/>
    <w:rsid w:val="003315A8"/>
    <w:rsid w:val="003315E4"/>
    <w:rsid w:val="0033203B"/>
    <w:rsid w:val="003333C9"/>
    <w:rsid w:val="003339B4"/>
    <w:rsid w:val="00333FB6"/>
    <w:rsid w:val="00334253"/>
    <w:rsid w:val="00334392"/>
    <w:rsid w:val="003343BC"/>
    <w:rsid w:val="0033554E"/>
    <w:rsid w:val="00335CBA"/>
    <w:rsid w:val="0033650E"/>
    <w:rsid w:val="0033682C"/>
    <w:rsid w:val="0033726C"/>
    <w:rsid w:val="00337A94"/>
    <w:rsid w:val="0034065C"/>
    <w:rsid w:val="00340A93"/>
    <w:rsid w:val="003410DF"/>
    <w:rsid w:val="003427F1"/>
    <w:rsid w:val="00344350"/>
    <w:rsid w:val="00344559"/>
    <w:rsid w:val="00344FF5"/>
    <w:rsid w:val="003450D9"/>
    <w:rsid w:val="00345ADB"/>
    <w:rsid w:val="003460BD"/>
    <w:rsid w:val="0034639C"/>
    <w:rsid w:val="003510B2"/>
    <w:rsid w:val="003511AB"/>
    <w:rsid w:val="003511FB"/>
    <w:rsid w:val="00351F97"/>
    <w:rsid w:val="003533FA"/>
    <w:rsid w:val="00355354"/>
    <w:rsid w:val="0035564C"/>
    <w:rsid w:val="003570DD"/>
    <w:rsid w:val="00357124"/>
    <w:rsid w:val="0035793F"/>
    <w:rsid w:val="0036111D"/>
    <w:rsid w:val="003618EF"/>
    <w:rsid w:val="0036222B"/>
    <w:rsid w:val="003630DB"/>
    <w:rsid w:val="00363B5C"/>
    <w:rsid w:val="00363D47"/>
    <w:rsid w:val="003645A7"/>
    <w:rsid w:val="00365509"/>
    <w:rsid w:val="0036629F"/>
    <w:rsid w:val="0036698B"/>
    <w:rsid w:val="0036717A"/>
    <w:rsid w:val="0036794D"/>
    <w:rsid w:val="003708E6"/>
    <w:rsid w:val="00370C34"/>
    <w:rsid w:val="00370E79"/>
    <w:rsid w:val="0037398D"/>
    <w:rsid w:val="003740C3"/>
    <w:rsid w:val="00374B24"/>
    <w:rsid w:val="00374DFB"/>
    <w:rsid w:val="003756D1"/>
    <w:rsid w:val="00377D85"/>
    <w:rsid w:val="00380ED7"/>
    <w:rsid w:val="00382628"/>
    <w:rsid w:val="003839E5"/>
    <w:rsid w:val="00383DA7"/>
    <w:rsid w:val="003866E3"/>
    <w:rsid w:val="003867E3"/>
    <w:rsid w:val="003870C5"/>
    <w:rsid w:val="0039015B"/>
    <w:rsid w:val="0039089F"/>
    <w:rsid w:val="003911DC"/>
    <w:rsid w:val="00391314"/>
    <w:rsid w:val="003934CA"/>
    <w:rsid w:val="00393BA2"/>
    <w:rsid w:val="003945B9"/>
    <w:rsid w:val="00394A1A"/>
    <w:rsid w:val="00394A95"/>
    <w:rsid w:val="00394D07"/>
    <w:rsid w:val="00395C44"/>
    <w:rsid w:val="00395FCB"/>
    <w:rsid w:val="00396022"/>
    <w:rsid w:val="003A0206"/>
    <w:rsid w:val="003A06AA"/>
    <w:rsid w:val="003A2DE9"/>
    <w:rsid w:val="003A340D"/>
    <w:rsid w:val="003A38E6"/>
    <w:rsid w:val="003A42A4"/>
    <w:rsid w:val="003A4639"/>
    <w:rsid w:val="003A6C79"/>
    <w:rsid w:val="003A7EC0"/>
    <w:rsid w:val="003B0F3C"/>
    <w:rsid w:val="003B1028"/>
    <w:rsid w:val="003B11CD"/>
    <w:rsid w:val="003B14E7"/>
    <w:rsid w:val="003B1C9F"/>
    <w:rsid w:val="003B2295"/>
    <w:rsid w:val="003B2C61"/>
    <w:rsid w:val="003B3300"/>
    <w:rsid w:val="003B573D"/>
    <w:rsid w:val="003B5E9B"/>
    <w:rsid w:val="003B6609"/>
    <w:rsid w:val="003B6B20"/>
    <w:rsid w:val="003B79D9"/>
    <w:rsid w:val="003B7E1A"/>
    <w:rsid w:val="003C09D3"/>
    <w:rsid w:val="003C186F"/>
    <w:rsid w:val="003C39CA"/>
    <w:rsid w:val="003C586D"/>
    <w:rsid w:val="003C656A"/>
    <w:rsid w:val="003C67CB"/>
    <w:rsid w:val="003C6DCD"/>
    <w:rsid w:val="003C74D4"/>
    <w:rsid w:val="003D0B46"/>
    <w:rsid w:val="003D0C43"/>
    <w:rsid w:val="003D14FA"/>
    <w:rsid w:val="003D307E"/>
    <w:rsid w:val="003D6C38"/>
    <w:rsid w:val="003E0BB3"/>
    <w:rsid w:val="003E2A78"/>
    <w:rsid w:val="003E3A4C"/>
    <w:rsid w:val="003E3F99"/>
    <w:rsid w:val="003E5212"/>
    <w:rsid w:val="003E55F9"/>
    <w:rsid w:val="003E5982"/>
    <w:rsid w:val="003E5C75"/>
    <w:rsid w:val="003E5FB6"/>
    <w:rsid w:val="003E6212"/>
    <w:rsid w:val="003E6ADD"/>
    <w:rsid w:val="003F01FC"/>
    <w:rsid w:val="003F0EC7"/>
    <w:rsid w:val="003F1326"/>
    <w:rsid w:val="003F1ECC"/>
    <w:rsid w:val="003F1FB1"/>
    <w:rsid w:val="003F2722"/>
    <w:rsid w:val="003F2B03"/>
    <w:rsid w:val="003F3290"/>
    <w:rsid w:val="003F3796"/>
    <w:rsid w:val="003F4ACD"/>
    <w:rsid w:val="003F5194"/>
    <w:rsid w:val="003F608C"/>
    <w:rsid w:val="003F6767"/>
    <w:rsid w:val="003F68D3"/>
    <w:rsid w:val="003F7121"/>
    <w:rsid w:val="003F7A54"/>
    <w:rsid w:val="00400056"/>
    <w:rsid w:val="00400450"/>
    <w:rsid w:val="00401452"/>
    <w:rsid w:val="00402A39"/>
    <w:rsid w:val="0040342B"/>
    <w:rsid w:val="0040439E"/>
    <w:rsid w:val="004046F5"/>
    <w:rsid w:val="00404A49"/>
    <w:rsid w:val="00405429"/>
    <w:rsid w:val="00406176"/>
    <w:rsid w:val="00406920"/>
    <w:rsid w:val="00406AA5"/>
    <w:rsid w:val="00406D74"/>
    <w:rsid w:val="00406EE8"/>
    <w:rsid w:val="00407D78"/>
    <w:rsid w:val="00410147"/>
    <w:rsid w:val="00410ABC"/>
    <w:rsid w:val="00410D10"/>
    <w:rsid w:val="00412B20"/>
    <w:rsid w:val="00412D69"/>
    <w:rsid w:val="0041324F"/>
    <w:rsid w:val="0041406C"/>
    <w:rsid w:val="00414D5D"/>
    <w:rsid w:val="00415758"/>
    <w:rsid w:val="0041593F"/>
    <w:rsid w:val="004159C2"/>
    <w:rsid w:val="00415BC9"/>
    <w:rsid w:val="00415EA8"/>
    <w:rsid w:val="00416A06"/>
    <w:rsid w:val="00416FB1"/>
    <w:rsid w:val="00417FBD"/>
    <w:rsid w:val="00420A83"/>
    <w:rsid w:val="004211FF"/>
    <w:rsid w:val="0042146C"/>
    <w:rsid w:val="00421B49"/>
    <w:rsid w:val="004231E9"/>
    <w:rsid w:val="00423BCC"/>
    <w:rsid w:val="00423D54"/>
    <w:rsid w:val="00424F7F"/>
    <w:rsid w:val="004253E5"/>
    <w:rsid w:val="0042619A"/>
    <w:rsid w:val="00426832"/>
    <w:rsid w:val="00426CED"/>
    <w:rsid w:val="004272DA"/>
    <w:rsid w:val="004278B7"/>
    <w:rsid w:val="00427BD5"/>
    <w:rsid w:val="00430308"/>
    <w:rsid w:val="00430350"/>
    <w:rsid w:val="00430528"/>
    <w:rsid w:val="00430BF5"/>
    <w:rsid w:val="00431F1C"/>
    <w:rsid w:val="004346FC"/>
    <w:rsid w:val="00435224"/>
    <w:rsid w:val="00436256"/>
    <w:rsid w:val="00436C83"/>
    <w:rsid w:val="00437D22"/>
    <w:rsid w:val="00437F0E"/>
    <w:rsid w:val="004406B9"/>
    <w:rsid w:val="004431E3"/>
    <w:rsid w:val="00444438"/>
    <w:rsid w:val="004444C8"/>
    <w:rsid w:val="00446274"/>
    <w:rsid w:val="0044658C"/>
    <w:rsid w:val="00446FF4"/>
    <w:rsid w:val="00450F1B"/>
    <w:rsid w:val="00451159"/>
    <w:rsid w:val="00451351"/>
    <w:rsid w:val="00451449"/>
    <w:rsid w:val="004514D1"/>
    <w:rsid w:val="00452984"/>
    <w:rsid w:val="004529AE"/>
    <w:rsid w:val="00453749"/>
    <w:rsid w:val="00453857"/>
    <w:rsid w:val="00453FE8"/>
    <w:rsid w:val="00454854"/>
    <w:rsid w:val="00454DE0"/>
    <w:rsid w:val="004564AA"/>
    <w:rsid w:val="00460551"/>
    <w:rsid w:val="00460E4E"/>
    <w:rsid w:val="00462940"/>
    <w:rsid w:val="00463EB0"/>
    <w:rsid w:val="00464B9B"/>
    <w:rsid w:val="00464F97"/>
    <w:rsid w:val="0046798E"/>
    <w:rsid w:val="00471769"/>
    <w:rsid w:val="00471CF8"/>
    <w:rsid w:val="00472E98"/>
    <w:rsid w:val="004735A3"/>
    <w:rsid w:val="00474BC6"/>
    <w:rsid w:val="00475FEA"/>
    <w:rsid w:val="0047667E"/>
    <w:rsid w:val="0047760C"/>
    <w:rsid w:val="0048023A"/>
    <w:rsid w:val="00480955"/>
    <w:rsid w:val="004835DF"/>
    <w:rsid w:val="0048418E"/>
    <w:rsid w:val="004856E2"/>
    <w:rsid w:val="00485898"/>
    <w:rsid w:val="00487151"/>
    <w:rsid w:val="00487910"/>
    <w:rsid w:val="00487B38"/>
    <w:rsid w:val="00487D0C"/>
    <w:rsid w:val="00490670"/>
    <w:rsid w:val="00491906"/>
    <w:rsid w:val="004923C1"/>
    <w:rsid w:val="0049241D"/>
    <w:rsid w:val="00492D32"/>
    <w:rsid w:val="0049361E"/>
    <w:rsid w:val="00495817"/>
    <w:rsid w:val="00495D48"/>
    <w:rsid w:val="0049612D"/>
    <w:rsid w:val="004969EC"/>
    <w:rsid w:val="00497C55"/>
    <w:rsid w:val="004A1313"/>
    <w:rsid w:val="004A2739"/>
    <w:rsid w:val="004A2985"/>
    <w:rsid w:val="004A34B4"/>
    <w:rsid w:val="004A4B8B"/>
    <w:rsid w:val="004A4C29"/>
    <w:rsid w:val="004A6AA8"/>
    <w:rsid w:val="004A6E29"/>
    <w:rsid w:val="004B0193"/>
    <w:rsid w:val="004B02DD"/>
    <w:rsid w:val="004B0754"/>
    <w:rsid w:val="004B0977"/>
    <w:rsid w:val="004B16A0"/>
    <w:rsid w:val="004B2302"/>
    <w:rsid w:val="004B244A"/>
    <w:rsid w:val="004B38E8"/>
    <w:rsid w:val="004B391A"/>
    <w:rsid w:val="004B3D4B"/>
    <w:rsid w:val="004B4438"/>
    <w:rsid w:val="004B48AA"/>
    <w:rsid w:val="004B55B3"/>
    <w:rsid w:val="004B65BB"/>
    <w:rsid w:val="004B6C66"/>
    <w:rsid w:val="004C19C4"/>
    <w:rsid w:val="004C1E1D"/>
    <w:rsid w:val="004C2BB3"/>
    <w:rsid w:val="004C3158"/>
    <w:rsid w:val="004C3CE0"/>
    <w:rsid w:val="004C3F27"/>
    <w:rsid w:val="004C5333"/>
    <w:rsid w:val="004C5613"/>
    <w:rsid w:val="004C572F"/>
    <w:rsid w:val="004D0C21"/>
    <w:rsid w:val="004D0F97"/>
    <w:rsid w:val="004D1E57"/>
    <w:rsid w:val="004D1E71"/>
    <w:rsid w:val="004D2F65"/>
    <w:rsid w:val="004D2FB5"/>
    <w:rsid w:val="004D302A"/>
    <w:rsid w:val="004D33DE"/>
    <w:rsid w:val="004D467D"/>
    <w:rsid w:val="004D61A4"/>
    <w:rsid w:val="004D6DA3"/>
    <w:rsid w:val="004D772D"/>
    <w:rsid w:val="004E0878"/>
    <w:rsid w:val="004E0919"/>
    <w:rsid w:val="004E169F"/>
    <w:rsid w:val="004E2238"/>
    <w:rsid w:val="004E24CF"/>
    <w:rsid w:val="004E2688"/>
    <w:rsid w:val="004E28E5"/>
    <w:rsid w:val="004E28F4"/>
    <w:rsid w:val="004E2D0D"/>
    <w:rsid w:val="004E393C"/>
    <w:rsid w:val="004E63D0"/>
    <w:rsid w:val="004F065A"/>
    <w:rsid w:val="004F0987"/>
    <w:rsid w:val="004F0C3F"/>
    <w:rsid w:val="004F19A7"/>
    <w:rsid w:val="004F3D80"/>
    <w:rsid w:val="004F3FED"/>
    <w:rsid w:val="004F67A8"/>
    <w:rsid w:val="004F6C57"/>
    <w:rsid w:val="004F75A1"/>
    <w:rsid w:val="004F76A4"/>
    <w:rsid w:val="00500059"/>
    <w:rsid w:val="00501C95"/>
    <w:rsid w:val="00501E52"/>
    <w:rsid w:val="00501EF1"/>
    <w:rsid w:val="00502273"/>
    <w:rsid w:val="00502429"/>
    <w:rsid w:val="005028E4"/>
    <w:rsid w:val="005030F8"/>
    <w:rsid w:val="0050441E"/>
    <w:rsid w:val="00506FF8"/>
    <w:rsid w:val="005070DE"/>
    <w:rsid w:val="0050782E"/>
    <w:rsid w:val="00510D8D"/>
    <w:rsid w:val="00510F42"/>
    <w:rsid w:val="00511A13"/>
    <w:rsid w:val="00512737"/>
    <w:rsid w:val="0051323A"/>
    <w:rsid w:val="005150DD"/>
    <w:rsid w:val="00515A4A"/>
    <w:rsid w:val="00515E47"/>
    <w:rsid w:val="0051602F"/>
    <w:rsid w:val="005163D6"/>
    <w:rsid w:val="00516A43"/>
    <w:rsid w:val="00516E67"/>
    <w:rsid w:val="00517547"/>
    <w:rsid w:val="0051756D"/>
    <w:rsid w:val="00521C93"/>
    <w:rsid w:val="0052249C"/>
    <w:rsid w:val="005224DA"/>
    <w:rsid w:val="0052371B"/>
    <w:rsid w:val="005240B7"/>
    <w:rsid w:val="005246C6"/>
    <w:rsid w:val="0052571A"/>
    <w:rsid w:val="00526079"/>
    <w:rsid w:val="005261CE"/>
    <w:rsid w:val="0052636F"/>
    <w:rsid w:val="00526934"/>
    <w:rsid w:val="00527F32"/>
    <w:rsid w:val="00527FD6"/>
    <w:rsid w:val="005304A3"/>
    <w:rsid w:val="00530F1B"/>
    <w:rsid w:val="00533789"/>
    <w:rsid w:val="0053388B"/>
    <w:rsid w:val="00534DCE"/>
    <w:rsid w:val="00535C0A"/>
    <w:rsid w:val="00537401"/>
    <w:rsid w:val="00540413"/>
    <w:rsid w:val="00540C9D"/>
    <w:rsid w:val="00540CAF"/>
    <w:rsid w:val="00542561"/>
    <w:rsid w:val="005438F5"/>
    <w:rsid w:val="00543F76"/>
    <w:rsid w:val="0054445B"/>
    <w:rsid w:val="0054502C"/>
    <w:rsid w:val="00547343"/>
    <w:rsid w:val="00550584"/>
    <w:rsid w:val="005516B8"/>
    <w:rsid w:val="00551DE5"/>
    <w:rsid w:val="00551E83"/>
    <w:rsid w:val="0055344D"/>
    <w:rsid w:val="005538DB"/>
    <w:rsid w:val="00553E20"/>
    <w:rsid w:val="005551F4"/>
    <w:rsid w:val="00555540"/>
    <w:rsid w:val="00555C3D"/>
    <w:rsid w:val="0056059E"/>
    <w:rsid w:val="005613AE"/>
    <w:rsid w:val="005629BF"/>
    <w:rsid w:val="00562F30"/>
    <w:rsid w:val="00564EB1"/>
    <w:rsid w:val="005659F9"/>
    <w:rsid w:val="00565D1D"/>
    <w:rsid w:val="005667D5"/>
    <w:rsid w:val="00567785"/>
    <w:rsid w:val="00567FC7"/>
    <w:rsid w:val="00571847"/>
    <w:rsid w:val="00572118"/>
    <w:rsid w:val="00572454"/>
    <w:rsid w:val="00572B27"/>
    <w:rsid w:val="00573EE3"/>
    <w:rsid w:val="00575B3B"/>
    <w:rsid w:val="00575CF6"/>
    <w:rsid w:val="00575D52"/>
    <w:rsid w:val="00576781"/>
    <w:rsid w:val="00577DE1"/>
    <w:rsid w:val="005823C8"/>
    <w:rsid w:val="00584869"/>
    <w:rsid w:val="00584C23"/>
    <w:rsid w:val="005854C3"/>
    <w:rsid w:val="005858C7"/>
    <w:rsid w:val="00585E43"/>
    <w:rsid w:val="00586956"/>
    <w:rsid w:val="00586C90"/>
    <w:rsid w:val="00586CFD"/>
    <w:rsid w:val="00587613"/>
    <w:rsid w:val="0058795A"/>
    <w:rsid w:val="00591B9C"/>
    <w:rsid w:val="00592651"/>
    <w:rsid w:val="0059323A"/>
    <w:rsid w:val="005935A3"/>
    <w:rsid w:val="00594445"/>
    <w:rsid w:val="00594B25"/>
    <w:rsid w:val="00594C56"/>
    <w:rsid w:val="00594DC1"/>
    <w:rsid w:val="00594DEF"/>
    <w:rsid w:val="005958B9"/>
    <w:rsid w:val="00595C8B"/>
    <w:rsid w:val="0059707E"/>
    <w:rsid w:val="005976F8"/>
    <w:rsid w:val="005A1AC2"/>
    <w:rsid w:val="005A2F29"/>
    <w:rsid w:val="005A323B"/>
    <w:rsid w:val="005A34BA"/>
    <w:rsid w:val="005A45A3"/>
    <w:rsid w:val="005A6183"/>
    <w:rsid w:val="005A6E0A"/>
    <w:rsid w:val="005A777D"/>
    <w:rsid w:val="005A7FAE"/>
    <w:rsid w:val="005B24DF"/>
    <w:rsid w:val="005B27F2"/>
    <w:rsid w:val="005B2A53"/>
    <w:rsid w:val="005B2ADE"/>
    <w:rsid w:val="005B3257"/>
    <w:rsid w:val="005B3646"/>
    <w:rsid w:val="005B3754"/>
    <w:rsid w:val="005B48EF"/>
    <w:rsid w:val="005B527C"/>
    <w:rsid w:val="005B5B53"/>
    <w:rsid w:val="005B5B7B"/>
    <w:rsid w:val="005B6322"/>
    <w:rsid w:val="005B7D70"/>
    <w:rsid w:val="005C00FB"/>
    <w:rsid w:val="005C071E"/>
    <w:rsid w:val="005C1C5A"/>
    <w:rsid w:val="005C2605"/>
    <w:rsid w:val="005C264C"/>
    <w:rsid w:val="005C319A"/>
    <w:rsid w:val="005C3D3F"/>
    <w:rsid w:val="005C4D42"/>
    <w:rsid w:val="005C51BC"/>
    <w:rsid w:val="005C7B5F"/>
    <w:rsid w:val="005C7BA5"/>
    <w:rsid w:val="005D1D4E"/>
    <w:rsid w:val="005D2881"/>
    <w:rsid w:val="005D3380"/>
    <w:rsid w:val="005D3720"/>
    <w:rsid w:val="005D3EEE"/>
    <w:rsid w:val="005D438F"/>
    <w:rsid w:val="005D4615"/>
    <w:rsid w:val="005D6015"/>
    <w:rsid w:val="005E070A"/>
    <w:rsid w:val="005E1FD1"/>
    <w:rsid w:val="005E21C4"/>
    <w:rsid w:val="005E2D5B"/>
    <w:rsid w:val="005E378F"/>
    <w:rsid w:val="005E3A37"/>
    <w:rsid w:val="005E4611"/>
    <w:rsid w:val="005E5696"/>
    <w:rsid w:val="005E5BEA"/>
    <w:rsid w:val="005E7271"/>
    <w:rsid w:val="005E7DE0"/>
    <w:rsid w:val="005F0ACA"/>
    <w:rsid w:val="005F0CF5"/>
    <w:rsid w:val="005F0F22"/>
    <w:rsid w:val="005F101E"/>
    <w:rsid w:val="005F2473"/>
    <w:rsid w:val="005F2789"/>
    <w:rsid w:val="005F3112"/>
    <w:rsid w:val="005F451F"/>
    <w:rsid w:val="005F4CD8"/>
    <w:rsid w:val="005F50C7"/>
    <w:rsid w:val="005F5272"/>
    <w:rsid w:val="005F5FA0"/>
    <w:rsid w:val="005F6730"/>
    <w:rsid w:val="005F6932"/>
    <w:rsid w:val="005F776B"/>
    <w:rsid w:val="00601975"/>
    <w:rsid w:val="00601DAD"/>
    <w:rsid w:val="00602935"/>
    <w:rsid w:val="00603096"/>
    <w:rsid w:val="00603A2F"/>
    <w:rsid w:val="00604621"/>
    <w:rsid w:val="00604AE5"/>
    <w:rsid w:val="00605D18"/>
    <w:rsid w:val="00606C9E"/>
    <w:rsid w:val="0061015F"/>
    <w:rsid w:val="0061122C"/>
    <w:rsid w:val="00611983"/>
    <w:rsid w:val="0061246C"/>
    <w:rsid w:val="00612A00"/>
    <w:rsid w:val="00612A48"/>
    <w:rsid w:val="00612D9A"/>
    <w:rsid w:val="00612E84"/>
    <w:rsid w:val="00612F54"/>
    <w:rsid w:val="00614B9D"/>
    <w:rsid w:val="00615650"/>
    <w:rsid w:val="00616747"/>
    <w:rsid w:val="00621231"/>
    <w:rsid w:val="00622506"/>
    <w:rsid w:val="00622DC9"/>
    <w:rsid w:val="00622F3D"/>
    <w:rsid w:val="0062422A"/>
    <w:rsid w:val="00624CCF"/>
    <w:rsid w:val="006256C2"/>
    <w:rsid w:val="00626938"/>
    <w:rsid w:val="00626B39"/>
    <w:rsid w:val="00626CF2"/>
    <w:rsid w:val="006275AF"/>
    <w:rsid w:val="00627C41"/>
    <w:rsid w:val="00627D14"/>
    <w:rsid w:val="00627ED6"/>
    <w:rsid w:val="00630721"/>
    <w:rsid w:val="00630E6C"/>
    <w:rsid w:val="00631969"/>
    <w:rsid w:val="00632830"/>
    <w:rsid w:val="00632844"/>
    <w:rsid w:val="0063308F"/>
    <w:rsid w:val="00633139"/>
    <w:rsid w:val="0063384C"/>
    <w:rsid w:val="00633A76"/>
    <w:rsid w:val="00633B76"/>
    <w:rsid w:val="00634079"/>
    <w:rsid w:val="006346E7"/>
    <w:rsid w:val="00634B07"/>
    <w:rsid w:val="00634CDB"/>
    <w:rsid w:val="00634F41"/>
    <w:rsid w:val="00635BDB"/>
    <w:rsid w:val="0063791D"/>
    <w:rsid w:val="006407AC"/>
    <w:rsid w:val="006409ED"/>
    <w:rsid w:val="00640CF5"/>
    <w:rsid w:val="00640E49"/>
    <w:rsid w:val="006415A6"/>
    <w:rsid w:val="00641798"/>
    <w:rsid w:val="006419C4"/>
    <w:rsid w:val="006425C7"/>
    <w:rsid w:val="00643F0B"/>
    <w:rsid w:val="00644B8E"/>
    <w:rsid w:val="00644D8C"/>
    <w:rsid w:val="00645C02"/>
    <w:rsid w:val="00646B64"/>
    <w:rsid w:val="006478A8"/>
    <w:rsid w:val="006479AB"/>
    <w:rsid w:val="006508FD"/>
    <w:rsid w:val="00650FF8"/>
    <w:rsid w:val="00652106"/>
    <w:rsid w:val="00652179"/>
    <w:rsid w:val="006527FB"/>
    <w:rsid w:val="00652924"/>
    <w:rsid w:val="00652DCF"/>
    <w:rsid w:val="00652FB4"/>
    <w:rsid w:val="0065328B"/>
    <w:rsid w:val="00653296"/>
    <w:rsid w:val="00653E99"/>
    <w:rsid w:val="00653F76"/>
    <w:rsid w:val="00653F9D"/>
    <w:rsid w:val="00654879"/>
    <w:rsid w:val="00655A75"/>
    <w:rsid w:val="0065666F"/>
    <w:rsid w:val="00656FD3"/>
    <w:rsid w:val="006579DB"/>
    <w:rsid w:val="00660457"/>
    <w:rsid w:val="00660B86"/>
    <w:rsid w:val="0066206B"/>
    <w:rsid w:val="00663356"/>
    <w:rsid w:val="006641F7"/>
    <w:rsid w:val="006643AD"/>
    <w:rsid w:val="00664A14"/>
    <w:rsid w:val="006650B4"/>
    <w:rsid w:val="0066629C"/>
    <w:rsid w:val="00667AB1"/>
    <w:rsid w:val="0067150D"/>
    <w:rsid w:val="00671BAF"/>
    <w:rsid w:val="00672286"/>
    <w:rsid w:val="006725F6"/>
    <w:rsid w:val="00672CD2"/>
    <w:rsid w:val="006731BC"/>
    <w:rsid w:val="006732ED"/>
    <w:rsid w:val="00673535"/>
    <w:rsid w:val="00676803"/>
    <w:rsid w:val="00676B6E"/>
    <w:rsid w:val="006771DF"/>
    <w:rsid w:val="00680A50"/>
    <w:rsid w:val="0068246B"/>
    <w:rsid w:val="0068296D"/>
    <w:rsid w:val="00682F81"/>
    <w:rsid w:val="00683B1E"/>
    <w:rsid w:val="00684870"/>
    <w:rsid w:val="00685B13"/>
    <w:rsid w:val="0068626A"/>
    <w:rsid w:val="00686909"/>
    <w:rsid w:val="00687361"/>
    <w:rsid w:val="006903C4"/>
    <w:rsid w:val="006916F5"/>
    <w:rsid w:val="0069280F"/>
    <w:rsid w:val="006935EB"/>
    <w:rsid w:val="00694AC5"/>
    <w:rsid w:val="006959D9"/>
    <w:rsid w:val="006968D1"/>
    <w:rsid w:val="00696FCD"/>
    <w:rsid w:val="006A1509"/>
    <w:rsid w:val="006A21FA"/>
    <w:rsid w:val="006A25FA"/>
    <w:rsid w:val="006A3129"/>
    <w:rsid w:val="006A3EF1"/>
    <w:rsid w:val="006A4D11"/>
    <w:rsid w:val="006A4D3E"/>
    <w:rsid w:val="006A5976"/>
    <w:rsid w:val="006A6234"/>
    <w:rsid w:val="006A73F5"/>
    <w:rsid w:val="006A762F"/>
    <w:rsid w:val="006A79BE"/>
    <w:rsid w:val="006B0076"/>
    <w:rsid w:val="006B0AC0"/>
    <w:rsid w:val="006B16C6"/>
    <w:rsid w:val="006B341F"/>
    <w:rsid w:val="006B417B"/>
    <w:rsid w:val="006B43B5"/>
    <w:rsid w:val="006B54E6"/>
    <w:rsid w:val="006B5F72"/>
    <w:rsid w:val="006B764B"/>
    <w:rsid w:val="006B7AED"/>
    <w:rsid w:val="006C1C42"/>
    <w:rsid w:val="006C1D67"/>
    <w:rsid w:val="006C39B9"/>
    <w:rsid w:val="006C3DEB"/>
    <w:rsid w:val="006C4973"/>
    <w:rsid w:val="006C4A77"/>
    <w:rsid w:val="006C513A"/>
    <w:rsid w:val="006C59CB"/>
    <w:rsid w:val="006C5CBC"/>
    <w:rsid w:val="006C5F6B"/>
    <w:rsid w:val="006C60A2"/>
    <w:rsid w:val="006C6173"/>
    <w:rsid w:val="006C679C"/>
    <w:rsid w:val="006D08EE"/>
    <w:rsid w:val="006D145D"/>
    <w:rsid w:val="006D517B"/>
    <w:rsid w:val="006D532C"/>
    <w:rsid w:val="006D5DC3"/>
    <w:rsid w:val="006D5F61"/>
    <w:rsid w:val="006E080D"/>
    <w:rsid w:val="006E082C"/>
    <w:rsid w:val="006E1647"/>
    <w:rsid w:val="006E1AB3"/>
    <w:rsid w:val="006E27B7"/>
    <w:rsid w:val="006E2F6A"/>
    <w:rsid w:val="006E339B"/>
    <w:rsid w:val="006E4184"/>
    <w:rsid w:val="006E5D9E"/>
    <w:rsid w:val="006E5F2F"/>
    <w:rsid w:val="006E71D9"/>
    <w:rsid w:val="006F0758"/>
    <w:rsid w:val="006F0AAD"/>
    <w:rsid w:val="006F2C37"/>
    <w:rsid w:val="006F60B2"/>
    <w:rsid w:val="006F61AE"/>
    <w:rsid w:val="006F6458"/>
    <w:rsid w:val="006F7C33"/>
    <w:rsid w:val="007009B7"/>
    <w:rsid w:val="00702E03"/>
    <w:rsid w:val="00702EE8"/>
    <w:rsid w:val="00704120"/>
    <w:rsid w:val="00705C13"/>
    <w:rsid w:val="007065D4"/>
    <w:rsid w:val="00706BB7"/>
    <w:rsid w:val="0071117E"/>
    <w:rsid w:val="007114DC"/>
    <w:rsid w:val="007114DE"/>
    <w:rsid w:val="00712513"/>
    <w:rsid w:val="007129C0"/>
    <w:rsid w:val="007153D7"/>
    <w:rsid w:val="0071644D"/>
    <w:rsid w:val="00716EE2"/>
    <w:rsid w:val="0071748F"/>
    <w:rsid w:val="00717C56"/>
    <w:rsid w:val="00717E59"/>
    <w:rsid w:val="007208D5"/>
    <w:rsid w:val="00720AC5"/>
    <w:rsid w:val="00721226"/>
    <w:rsid w:val="00721DCD"/>
    <w:rsid w:val="00724C7E"/>
    <w:rsid w:val="007250E3"/>
    <w:rsid w:val="00727A3A"/>
    <w:rsid w:val="00727C48"/>
    <w:rsid w:val="00727D3B"/>
    <w:rsid w:val="00730642"/>
    <w:rsid w:val="00730C34"/>
    <w:rsid w:val="00731AAA"/>
    <w:rsid w:val="0073247D"/>
    <w:rsid w:val="00732646"/>
    <w:rsid w:val="007337BF"/>
    <w:rsid w:val="00733BA6"/>
    <w:rsid w:val="00733BB9"/>
    <w:rsid w:val="00733BCA"/>
    <w:rsid w:val="00733D99"/>
    <w:rsid w:val="00735B4F"/>
    <w:rsid w:val="00735DB4"/>
    <w:rsid w:val="007405CF"/>
    <w:rsid w:val="007407E8"/>
    <w:rsid w:val="00741A18"/>
    <w:rsid w:val="00741F6B"/>
    <w:rsid w:val="00742F4C"/>
    <w:rsid w:val="00742F53"/>
    <w:rsid w:val="00743E3B"/>
    <w:rsid w:val="00743EA2"/>
    <w:rsid w:val="0074425C"/>
    <w:rsid w:val="00745F82"/>
    <w:rsid w:val="00746606"/>
    <w:rsid w:val="00746DEB"/>
    <w:rsid w:val="00747382"/>
    <w:rsid w:val="007510EC"/>
    <w:rsid w:val="00751B1C"/>
    <w:rsid w:val="00752176"/>
    <w:rsid w:val="0075255B"/>
    <w:rsid w:val="00753814"/>
    <w:rsid w:val="007551B8"/>
    <w:rsid w:val="00755369"/>
    <w:rsid w:val="00756C91"/>
    <w:rsid w:val="0075796E"/>
    <w:rsid w:val="00760C62"/>
    <w:rsid w:val="007636DA"/>
    <w:rsid w:val="00763B0C"/>
    <w:rsid w:val="00763B54"/>
    <w:rsid w:val="00765952"/>
    <w:rsid w:val="007661BD"/>
    <w:rsid w:val="00766256"/>
    <w:rsid w:val="00766380"/>
    <w:rsid w:val="007663CA"/>
    <w:rsid w:val="00766F19"/>
    <w:rsid w:val="007712E6"/>
    <w:rsid w:val="00771A9E"/>
    <w:rsid w:val="00772B07"/>
    <w:rsid w:val="00773E53"/>
    <w:rsid w:val="00773FEC"/>
    <w:rsid w:val="00774000"/>
    <w:rsid w:val="007744AB"/>
    <w:rsid w:val="00775D8C"/>
    <w:rsid w:val="0077672C"/>
    <w:rsid w:val="00780354"/>
    <w:rsid w:val="00781221"/>
    <w:rsid w:val="00782985"/>
    <w:rsid w:val="00783104"/>
    <w:rsid w:val="007831D0"/>
    <w:rsid w:val="00784DB8"/>
    <w:rsid w:val="00785D15"/>
    <w:rsid w:val="0078614E"/>
    <w:rsid w:val="00787B31"/>
    <w:rsid w:val="00787BB0"/>
    <w:rsid w:val="0079020C"/>
    <w:rsid w:val="00791AB2"/>
    <w:rsid w:val="00791BAE"/>
    <w:rsid w:val="00792AA1"/>
    <w:rsid w:val="0079348B"/>
    <w:rsid w:val="00793BAF"/>
    <w:rsid w:val="00793C87"/>
    <w:rsid w:val="00794194"/>
    <w:rsid w:val="0079457D"/>
    <w:rsid w:val="00794591"/>
    <w:rsid w:val="0079505E"/>
    <w:rsid w:val="00795E82"/>
    <w:rsid w:val="0079697B"/>
    <w:rsid w:val="00797EFC"/>
    <w:rsid w:val="007A062F"/>
    <w:rsid w:val="007A0BB6"/>
    <w:rsid w:val="007A1512"/>
    <w:rsid w:val="007A1AAA"/>
    <w:rsid w:val="007A22F2"/>
    <w:rsid w:val="007A2369"/>
    <w:rsid w:val="007A245F"/>
    <w:rsid w:val="007A2DBD"/>
    <w:rsid w:val="007A3780"/>
    <w:rsid w:val="007A3A77"/>
    <w:rsid w:val="007A6DA5"/>
    <w:rsid w:val="007A7265"/>
    <w:rsid w:val="007B027A"/>
    <w:rsid w:val="007B052D"/>
    <w:rsid w:val="007B0ED6"/>
    <w:rsid w:val="007B224C"/>
    <w:rsid w:val="007B40C3"/>
    <w:rsid w:val="007B5651"/>
    <w:rsid w:val="007B56B6"/>
    <w:rsid w:val="007B6735"/>
    <w:rsid w:val="007B7082"/>
    <w:rsid w:val="007B712B"/>
    <w:rsid w:val="007B7A74"/>
    <w:rsid w:val="007C095C"/>
    <w:rsid w:val="007C118A"/>
    <w:rsid w:val="007C1A1C"/>
    <w:rsid w:val="007C1A79"/>
    <w:rsid w:val="007C1C96"/>
    <w:rsid w:val="007C20CB"/>
    <w:rsid w:val="007C2688"/>
    <w:rsid w:val="007C2765"/>
    <w:rsid w:val="007C2CCC"/>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06AB"/>
    <w:rsid w:val="007E14EE"/>
    <w:rsid w:val="007E2CB4"/>
    <w:rsid w:val="007E44E8"/>
    <w:rsid w:val="007E4506"/>
    <w:rsid w:val="007E5793"/>
    <w:rsid w:val="007E5F0F"/>
    <w:rsid w:val="007E6E0A"/>
    <w:rsid w:val="007E7932"/>
    <w:rsid w:val="007F037A"/>
    <w:rsid w:val="007F074A"/>
    <w:rsid w:val="007F093C"/>
    <w:rsid w:val="007F21D0"/>
    <w:rsid w:val="007F25CC"/>
    <w:rsid w:val="007F3134"/>
    <w:rsid w:val="007F3865"/>
    <w:rsid w:val="007F3E63"/>
    <w:rsid w:val="007F4E5B"/>
    <w:rsid w:val="007F6621"/>
    <w:rsid w:val="007F690C"/>
    <w:rsid w:val="007F6A80"/>
    <w:rsid w:val="007F6DDA"/>
    <w:rsid w:val="00801AD6"/>
    <w:rsid w:val="00801D82"/>
    <w:rsid w:val="008038B3"/>
    <w:rsid w:val="0080471D"/>
    <w:rsid w:val="00804B25"/>
    <w:rsid w:val="00804ED2"/>
    <w:rsid w:val="00806163"/>
    <w:rsid w:val="00806DDE"/>
    <w:rsid w:val="00807615"/>
    <w:rsid w:val="00807B2C"/>
    <w:rsid w:val="0081150E"/>
    <w:rsid w:val="00811E22"/>
    <w:rsid w:val="00811EB1"/>
    <w:rsid w:val="00812025"/>
    <w:rsid w:val="0081315B"/>
    <w:rsid w:val="0081351C"/>
    <w:rsid w:val="00813A81"/>
    <w:rsid w:val="008145E0"/>
    <w:rsid w:val="008149E8"/>
    <w:rsid w:val="008151A3"/>
    <w:rsid w:val="008172CB"/>
    <w:rsid w:val="00817955"/>
    <w:rsid w:val="008224DE"/>
    <w:rsid w:val="008226C7"/>
    <w:rsid w:val="00822A4F"/>
    <w:rsid w:val="00822A50"/>
    <w:rsid w:val="00822D66"/>
    <w:rsid w:val="00822F16"/>
    <w:rsid w:val="00822F66"/>
    <w:rsid w:val="00823110"/>
    <w:rsid w:val="00824E38"/>
    <w:rsid w:val="00825096"/>
    <w:rsid w:val="00830F95"/>
    <w:rsid w:val="008317CC"/>
    <w:rsid w:val="00831ED2"/>
    <w:rsid w:val="00831FB7"/>
    <w:rsid w:val="00831FC6"/>
    <w:rsid w:val="00832F37"/>
    <w:rsid w:val="00834632"/>
    <w:rsid w:val="0083581C"/>
    <w:rsid w:val="008359E6"/>
    <w:rsid w:val="00835FF2"/>
    <w:rsid w:val="00840024"/>
    <w:rsid w:val="008400EF"/>
    <w:rsid w:val="0084182F"/>
    <w:rsid w:val="00844370"/>
    <w:rsid w:val="00845489"/>
    <w:rsid w:val="00845EDE"/>
    <w:rsid w:val="008462A4"/>
    <w:rsid w:val="008462C8"/>
    <w:rsid w:val="00850750"/>
    <w:rsid w:val="008509A1"/>
    <w:rsid w:val="008519E6"/>
    <w:rsid w:val="00852C6D"/>
    <w:rsid w:val="00855EA4"/>
    <w:rsid w:val="00860382"/>
    <w:rsid w:val="00860EE6"/>
    <w:rsid w:val="00861A10"/>
    <w:rsid w:val="00861F75"/>
    <w:rsid w:val="00862499"/>
    <w:rsid w:val="00863A40"/>
    <w:rsid w:val="008641A0"/>
    <w:rsid w:val="008648BA"/>
    <w:rsid w:val="0086512B"/>
    <w:rsid w:val="0086659B"/>
    <w:rsid w:val="00866870"/>
    <w:rsid w:val="0086692A"/>
    <w:rsid w:val="00871526"/>
    <w:rsid w:val="00871D6C"/>
    <w:rsid w:val="008725A8"/>
    <w:rsid w:val="008725F7"/>
    <w:rsid w:val="008726B5"/>
    <w:rsid w:val="00875A0F"/>
    <w:rsid w:val="00876749"/>
    <w:rsid w:val="0087720B"/>
    <w:rsid w:val="00877916"/>
    <w:rsid w:val="00877C6B"/>
    <w:rsid w:val="00881E96"/>
    <w:rsid w:val="008824D4"/>
    <w:rsid w:val="00882964"/>
    <w:rsid w:val="00882A70"/>
    <w:rsid w:val="008842B8"/>
    <w:rsid w:val="008849B1"/>
    <w:rsid w:val="00884BBC"/>
    <w:rsid w:val="00885580"/>
    <w:rsid w:val="00886246"/>
    <w:rsid w:val="0088632C"/>
    <w:rsid w:val="00887258"/>
    <w:rsid w:val="00887460"/>
    <w:rsid w:val="00887B51"/>
    <w:rsid w:val="00890C0D"/>
    <w:rsid w:val="008914D3"/>
    <w:rsid w:val="00891844"/>
    <w:rsid w:val="0089185A"/>
    <w:rsid w:val="00891DA9"/>
    <w:rsid w:val="008921CD"/>
    <w:rsid w:val="008926BE"/>
    <w:rsid w:val="0089583F"/>
    <w:rsid w:val="008958A4"/>
    <w:rsid w:val="00895EB1"/>
    <w:rsid w:val="00896976"/>
    <w:rsid w:val="0089797A"/>
    <w:rsid w:val="008A1270"/>
    <w:rsid w:val="008A19F6"/>
    <w:rsid w:val="008A59A2"/>
    <w:rsid w:val="008A5EAC"/>
    <w:rsid w:val="008A77C2"/>
    <w:rsid w:val="008A7992"/>
    <w:rsid w:val="008B1B30"/>
    <w:rsid w:val="008B21D2"/>
    <w:rsid w:val="008B2367"/>
    <w:rsid w:val="008B2DF7"/>
    <w:rsid w:val="008B4D0F"/>
    <w:rsid w:val="008B64BA"/>
    <w:rsid w:val="008B6768"/>
    <w:rsid w:val="008B6A0B"/>
    <w:rsid w:val="008B71C7"/>
    <w:rsid w:val="008B7908"/>
    <w:rsid w:val="008C013D"/>
    <w:rsid w:val="008C134E"/>
    <w:rsid w:val="008C15C2"/>
    <w:rsid w:val="008C16D5"/>
    <w:rsid w:val="008C1B45"/>
    <w:rsid w:val="008C272B"/>
    <w:rsid w:val="008C3A16"/>
    <w:rsid w:val="008C4560"/>
    <w:rsid w:val="008D0082"/>
    <w:rsid w:val="008D05AD"/>
    <w:rsid w:val="008D0BF3"/>
    <w:rsid w:val="008D0F86"/>
    <w:rsid w:val="008D14B9"/>
    <w:rsid w:val="008D17E6"/>
    <w:rsid w:val="008D307C"/>
    <w:rsid w:val="008D39E6"/>
    <w:rsid w:val="008D43AA"/>
    <w:rsid w:val="008D476B"/>
    <w:rsid w:val="008D51DA"/>
    <w:rsid w:val="008D53DB"/>
    <w:rsid w:val="008D56CD"/>
    <w:rsid w:val="008D7F14"/>
    <w:rsid w:val="008E066F"/>
    <w:rsid w:val="008E2995"/>
    <w:rsid w:val="008E3EB2"/>
    <w:rsid w:val="008E473D"/>
    <w:rsid w:val="008E513A"/>
    <w:rsid w:val="008E58C4"/>
    <w:rsid w:val="008E61F8"/>
    <w:rsid w:val="008E6D79"/>
    <w:rsid w:val="008E710C"/>
    <w:rsid w:val="008F0F1B"/>
    <w:rsid w:val="008F1340"/>
    <w:rsid w:val="008F1789"/>
    <w:rsid w:val="008F2160"/>
    <w:rsid w:val="008F2E6F"/>
    <w:rsid w:val="008F3EA5"/>
    <w:rsid w:val="008F4136"/>
    <w:rsid w:val="008F4E8D"/>
    <w:rsid w:val="008F4F17"/>
    <w:rsid w:val="008F5200"/>
    <w:rsid w:val="008F64EE"/>
    <w:rsid w:val="008F6BCB"/>
    <w:rsid w:val="008F6DE9"/>
    <w:rsid w:val="008F70BB"/>
    <w:rsid w:val="008F72AA"/>
    <w:rsid w:val="008F77EF"/>
    <w:rsid w:val="00900648"/>
    <w:rsid w:val="00900836"/>
    <w:rsid w:val="00901757"/>
    <w:rsid w:val="00902DC7"/>
    <w:rsid w:val="009030E9"/>
    <w:rsid w:val="009034E0"/>
    <w:rsid w:val="00903E10"/>
    <w:rsid w:val="009048C4"/>
    <w:rsid w:val="009048DA"/>
    <w:rsid w:val="0090493A"/>
    <w:rsid w:val="00905FFB"/>
    <w:rsid w:val="00907035"/>
    <w:rsid w:val="009070E0"/>
    <w:rsid w:val="009071E6"/>
    <w:rsid w:val="00907317"/>
    <w:rsid w:val="009076FF"/>
    <w:rsid w:val="00907F0F"/>
    <w:rsid w:val="0091015B"/>
    <w:rsid w:val="00910940"/>
    <w:rsid w:val="0091128E"/>
    <w:rsid w:val="00913813"/>
    <w:rsid w:val="00914DE9"/>
    <w:rsid w:val="009152F4"/>
    <w:rsid w:val="00915A33"/>
    <w:rsid w:val="00915C1B"/>
    <w:rsid w:val="00917406"/>
    <w:rsid w:val="00917DD9"/>
    <w:rsid w:val="00917F37"/>
    <w:rsid w:val="009211C1"/>
    <w:rsid w:val="009234C4"/>
    <w:rsid w:val="009237A5"/>
    <w:rsid w:val="00924A63"/>
    <w:rsid w:val="0092591D"/>
    <w:rsid w:val="00925D87"/>
    <w:rsid w:val="00925DAB"/>
    <w:rsid w:val="0092654D"/>
    <w:rsid w:val="00926620"/>
    <w:rsid w:val="009267B5"/>
    <w:rsid w:val="00927B05"/>
    <w:rsid w:val="00930B13"/>
    <w:rsid w:val="00931615"/>
    <w:rsid w:val="00932838"/>
    <w:rsid w:val="00933BBF"/>
    <w:rsid w:val="009343D6"/>
    <w:rsid w:val="009349CD"/>
    <w:rsid w:val="009365C9"/>
    <w:rsid w:val="00936727"/>
    <w:rsid w:val="00937776"/>
    <w:rsid w:val="009379C1"/>
    <w:rsid w:val="00941572"/>
    <w:rsid w:val="00943E32"/>
    <w:rsid w:val="009444CC"/>
    <w:rsid w:val="00944AB1"/>
    <w:rsid w:val="00945B5B"/>
    <w:rsid w:val="00950139"/>
    <w:rsid w:val="009501CB"/>
    <w:rsid w:val="009501FD"/>
    <w:rsid w:val="00953054"/>
    <w:rsid w:val="00955D8F"/>
    <w:rsid w:val="00956CCD"/>
    <w:rsid w:val="00960889"/>
    <w:rsid w:val="00960AE7"/>
    <w:rsid w:val="009630B0"/>
    <w:rsid w:val="00963D8D"/>
    <w:rsid w:val="00964AFF"/>
    <w:rsid w:val="0096545D"/>
    <w:rsid w:val="009661E5"/>
    <w:rsid w:val="00970290"/>
    <w:rsid w:val="009708C1"/>
    <w:rsid w:val="009727A7"/>
    <w:rsid w:val="00973446"/>
    <w:rsid w:val="00974170"/>
    <w:rsid w:val="00974BDE"/>
    <w:rsid w:val="009752BE"/>
    <w:rsid w:val="00975675"/>
    <w:rsid w:val="00975810"/>
    <w:rsid w:val="00975BFA"/>
    <w:rsid w:val="00976A67"/>
    <w:rsid w:val="00977592"/>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97B32"/>
    <w:rsid w:val="00997C3A"/>
    <w:rsid w:val="009A0B2C"/>
    <w:rsid w:val="009A169D"/>
    <w:rsid w:val="009A30DD"/>
    <w:rsid w:val="009A47E7"/>
    <w:rsid w:val="009A4CD6"/>
    <w:rsid w:val="009A62E8"/>
    <w:rsid w:val="009A65C0"/>
    <w:rsid w:val="009A6B7C"/>
    <w:rsid w:val="009B009E"/>
    <w:rsid w:val="009B0371"/>
    <w:rsid w:val="009B228A"/>
    <w:rsid w:val="009B2421"/>
    <w:rsid w:val="009B314F"/>
    <w:rsid w:val="009B3566"/>
    <w:rsid w:val="009B40D6"/>
    <w:rsid w:val="009B4843"/>
    <w:rsid w:val="009B5181"/>
    <w:rsid w:val="009B651D"/>
    <w:rsid w:val="009B6713"/>
    <w:rsid w:val="009B7C84"/>
    <w:rsid w:val="009C0B09"/>
    <w:rsid w:val="009C1DD5"/>
    <w:rsid w:val="009C303B"/>
    <w:rsid w:val="009C372A"/>
    <w:rsid w:val="009C440C"/>
    <w:rsid w:val="009C4CA7"/>
    <w:rsid w:val="009C59E9"/>
    <w:rsid w:val="009C5BD3"/>
    <w:rsid w:val="009C6ADF"/>
    <w:rsid w:val="009C7935"/>
    <w:rsid w:val="009D107E"/>
    <w:rsid w:val="009D13B1"/>
    <w:rsid w:val="009D1BC8"/>
    <w:rsid w:val="009D3E4F"/>
    <w:rsid w:val="009D3E64"/>
    <w:rsid w:val="009D4B5E"/>
    <w:rsid w:val="009D6B48"/>
    <w:rsid w:val="009D7BAF"/>
    <w:rsid w:val="009D7E5F"/>
    <w:rsid w:val="009E0955"/>
    <w:rsid w:val="009E2447"/>
    <w:rsid w:val="009E3EAF"/>
    <w:rsid w:val="009E56B5"/>
    <w:rsid w:val="009E5EE5"/>
    <w:rsid w:val="009E643D"/>
    <w:rsid w:val="009E64A4"/>
    <w:rsid w:val="009F06E4"/>
    <w:rsid w:val="009F0C66"/>
    <w:rsid w:val="009F2027"/>
    <w:rsid w:val="009F4756"/>
    <w:rsid w:val="009F4FFF"/>
    <w:rsid w:val="009F5AC8"/>
    <w:rsid w:val="009F7B45"/>
    <w:rsid w:val="00A000D6"/>
    <w:rsid w:val="00A00576"/>
    <w:rsid w:val="00A006F0"/>
    <w:rsid w:val="00A0141A"/>
    <w:rsid w:val="00A01808"/>
    <w:rsid w:val="00A01E14"/>
    <w:rsid w:val="00A0316D"/>
    <w:rsid w:val="00A039BF"/>
    <w:rsid w:val="00A05603"/>
    <w:rsid w:val="00A0774D"/>
    <w:rsid w:val="00A119CA"/>
    <w:rsid w:val="00A1202B"/>
    <w:rsid w:val="00A122C5"/>
    <w:rsid w:val="00A133F2"/>
    <w:rsid w:val="00A134D9"/>
    <w:rsid w:val="00A1478F"/>
    <w:rsid w:val="00A14CBD"/>
    <w:rsid w:val="00A16381"/>
    <w:rsid w:val="00A16ED9"/>
    <w:rsid w:val="00A178C5"/>
    <w:rsid w:val="00A25559"/>
    <w:rsid w:val="00A25AB9"/>
    <w:rsid w:val="00A30110"/>
    <w:rsid w:val="00A30BAE"/>
    <w:rsid w:val="00A32D12"/>
    <w:rsid w:val="00A331CE"/>
    <w:rsid w:val="00A339CA"/>
    <w:rsid w:val="00A34627"/>
    <w:rsid w:val="00A34752"/>
    <w:rsid w:val="00A3486B"/>
    <w:rsid w:val="00A34998"/>
    <w:rsid w:val="00A34D06"/>
    <w:rsid w:val="00A34E07"/>
    <w:rsid w:val="00A35D3B"/>
    <w:rsid w:val="00A364C6"/>
    <w:rsid w:val="00A36F1E"/>
    <w:rsid w:val="00A375B4"/>
    <w:rsid w:val="00A40119"/>
    <w:rsid w:val="00A40B96"/>
    <w:rsid w:val="00A4108C"/>
    <w:rsid w:val="00A41A98"/>
    <w:rsid w:val="00A429AB"/>
    <w:rsid w:val="00A445C7"/>
    <w:rsid w:val="00A44EE4"/>
    <w:rsid w:val="00A45588"/>
    <w:rsid w:val="00A45DBC"/>
    <w:rsid w:val="00A4694A"/>
    <w:rsid w:val="00A47034"/>
    <w:rsid w:val="00A50439"/>
    <w:rsid w:val="00A507E2"/>
    <w:rsid w:val="00A51A2F"/>
    <w:rsid w:val="00A51C61"/>
    <w:rsid w:val="00A5266B"/>
    <w:rsid w:val="00A52FBA"/>
    <w:rsid w:val="00A5357B"/>
    <w:rsid w:val="00A544DE"/>
    <w:rsid w:val="00A55DBA"/>
    <w:rsid w:val="00A57646"/>
    <w:rsid w:val="00A600C7"/>
    <w:rsid w:val="00A61647"/>
    <w:rsid w:val="00A6191F"/>
    <w:rsid w:val="00A61CA7"/>
    <w:rsid w:val="00A61E28"/>
    <w:rsid w:val="00A6439F"/>
    <w:rsid w:val="00A64940"/>
    <w:rsid w:val="00A64ACB"/>
    <w:rsid w:val="00A64FC1"/>
    <w:rsid w:val="00A6539D"/>
    <w:rsid w:val="00A665FA"/>
    <w:rsid w:val="00A66B68"/>
    <w:rsid w:val="00A67B9F"/>
    <w:rsid w:val="00A67CB6"/>
    <w:rsid w:val="00A70F61"/>
    <w:rsid w:val="00A717A5"/>
    <w:rsid w:val="00A7195E"/>
    <w:rsid w:val="00A71F51"/>
    <w:rsid w:val="00A72A52"/>
    <w:rsid w:val="00A72D6A"/>
    <w:rsid w:val="00A73A82"/>
    <w:rsid w:val="00A74846"/>
    <w:rsid w:val="00A75A47"/>
    <w:rsid w:val="00A75AAD"/>
    <w:rsid w:val="00A766ED"/>
    <w:rsid w:val="00A770B7"/>
    <w:rsid w:val="00A77477"/>
    <w:rsid w:val="00A80D8F"/>
    <w:rsid w:val="00A81C36"/>
    <w:rsid w:val="00A82A8F"/>
    <w:rsid w:val="00A82AB6"/>
    <w:rsid w:val="00A833C9"/>
    <w:rsid w:val="00A85000"/>
    <w:rsid w:val="00A856B6"/>
    <w:rsid w:val="00A87A38"/>
    <w:rsid w:val="00A87D76"/>
    <w:rsid w:val="00A90965"/>
    <w:rsid w:val="00A90D06"/>
    <w:rsid w:val="00A90EFF"/>
    <w:rsid w:val="00A92337"/>
    <w:rsid w:val="00A9265E"/>
    <w:rsid w:val="00A938C0"/>
    <w:rsid w:val="00A93EF8"/>
    <w:rsid w:val="00A94947"/>
    <w:rsid w:val="00A9639B"/>
    <w:rsid w:val="00A9676A"/>
    <w:rsid w:val="00A969C8"/>
    <w:rsid w:val="00A96DCC"/>
    <w:rsid w:val="00A96E92"/>
    <w:rsid w:val="00AA0C3E"/>
    <w:rsid w:val="00AA0C48"/>
    <w:rsid w:val="00AA2172"/>
    <w:rsid w:val="00AA333B"/>
    <w:rsid w:val="00AA3D26"/>
    <w:rsid w:val="00AA3FEE"/>
    <w:rsid w:val="00AA439A"/>
    <w:rsid w:val="00AA493E"/>
    <w:rsid w:val="00AA4E85"/>
    <w:rsid w:val="00AA59F8"/>
    <w:rsid w:val="00AA7814"/>
    <w:rsid w:val="00AB0D78"/>
    <w:rsid w:val="00AB239F"/>
    <w:rsid w:val="00AB35D3"/>
    <w:rsid w:val="00AB361B"/>
    <w:rsid w:val="00AB3E4C"/>
    <w:rsid w:val="00AB4E8F"/>
    <w:rsid w:val="00AB622B"/>
    <w:rsid w:val="00AB76A4"/>
    <w:rsid w:val="00AB7964"/>
    <w:rsid w:val="00AC1B0D"/>
    <w:rsid w:val="00AC1B6D"/>
    <w:rsid w:val="00AC2097"/>
    <w:rsid w:val="00AC312B"/>
    <w:rsid w:val="00AC41F4"/>
    <w:rsid w:val="00AC494B"/>
    <w:rsid w:val="00AC5090"/>
    <w:rsid w:val="00AC7D08"/>
    <w:rsid w:val="00AC7F29"/>
    <w:rsid w:val="00AD2250"/>
    <w:rsid w:val="00AD2560"/>
    <w:rsid w:val="00AD3C4A"/>
    <w:rsid w:val="00AD4E49"/>
    <w:rsid w:val="00AD74A0"/>
    <w:rsid w:val="00AE0D36"/>
    <w:rsid w:val="00AE2CA9"/>
    <w:rsid w:val="00AE3D28"/>
    <w:rsid w:val="00AE40C8"/>
    <w:rsid w:val="00AE4754"/>
    <w:rsid w:val="00AE6F41"/>
    <w:rsid w:val="00AE7A63"/>
    <w:rsid w:val="00AF0566"/>
    <w:rsid w:val="00AF0D57"/>
    <w:rsid w:val="00AF1406"/>
    <w:rsid w:val="00AF161F"/>
    <w:rsid w:val="00AF1923"/>
    <w:rsid w:val="00AF4190"/>
    <w:rsid w:val="00AF47C5"/>
    <w:rsid w:val="00AF4E97"/>
    <w:rsid w:val="00AF5D14"/>
    <w:rsid w:val="00AF5DBE"/>
    <w:rsid w:val="00AF6931"/>
    <w:rsid w:val="00AF699E"/>
    <w:rsid w:val="00AF747F"/>
    <w:rsid w:val="00B02024"/>
    <w:rsid w:val="00B02441"/>
    <w:rsid w:val="00B02F5C"/>
    <w:rsid w:val="00B05AB1"/>
    <w:rsid w:val="00B0722E"/>
    <w:rsid w:val="00B07B2A"/>
    <w:rsid w:val="00B10F6B"/>
    <w:rsid w:val="00B12797"/>
    <w:rsid w:val="00B1285B"/>
    <w:rsid w:val="00B12868"/>
    <w:rsid w:val="00B1287C"/>
    <w:rsid w:val="00B12C7A"/>
    <w:rsid w:val="00B12F40"/>
    <w:rsid w:val="00B130BB"/>
    <w:rsid w:val="00B1362C"/>
    <w:rsid w:val="00B138CB"/>
    <w:rsid w:val="00B158FA"/>
    <w:rsid w:val="00B15AF5"/>
    <w:rsid w:val="00B16FFC"/>
    <w:rsid w:val="00B17559"/>
    <w:rsid w:val="00B17D17"/>
    <w:rsid w:val="00B20E2B"/>
    <w:rsid w:val="00B228AB"/>
    <w:rsid w:val="00B235B6"/>
    <w:rsid w:val="00B25C8A"/>
    <w:rsid w:val="00B25CA6"/>
    <w:rsid w:val="00B31023"/>
    <w:rsid w:val="00B31A97"/>
    <w:rsid w:val="00B32788"/>
    <w:rsid w:val="00B32F78"/>
    <w:rsid w:val="00B336EA"/>
    <w:rsid w:val="00B34D61"/>
    <w:rsid w:val="00B3734D"/>
    <w:rsid w:val="00B37ED3"/>
    <w:rsid w:val="00B4073E"/>
    <w:rsid w:val="00B40969"/>
    <w:rsid w:val="00B40D9D"/>
    <w:rsid w:val="00B41F8E"/>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4C53"/>
    <w:rsid w:val="00B5678D"/>
    <w:rsid w:val="00B567AC"/>
    <w:rsid w:val="00B5695D"/>
    <w:rsid w:val="00B56FD3"/>
    <w:rsid w:val="00B57FAF"/>
    <w:rsid w:val="00B60858"/>
    <w:rsid w:val="00B60DAA"/>
    <w:rsid w:val="00B622C3"/>
    <w:rsid w:val="00B62D77"/>
    <w:rsid w:val="00B65D50"/>
    <w:rsid w:val="00B663E1"/>
    <w:rsid w:val="00B66461"/>
    <w:rsid w:val="00B67111"/>
    <w:rsid w:val="00B672F5"/>
    <w:rsid w:val="00B679A0"/>
    <w:rsid w:val="00B7060E"/>
    <w:rsid w:val="00B70709"/>
    <w:rsid w:val="00B710E8"/>
    <w:rsid w:val="00B7122A"/>
    <w:rsid w:val="00B7181C"/>
    <w:rsid w:val="00B72951"/>
    <w:rsid w:val="00B72A19"/>
    <w:rsid w:val="00B72A9D"/>
    <w:rsid w:val="00B73994"/>
    <w:rsid w:val="00B73C34"/>
    <w:rsid w:val="00B73DAE"/>
    <w:rsid w:val="00B744DB"/>
    <w:rsid w:val="00B74A09"/>
    <w:rsid w:val="00B75607"/>
    <w:rsid w:val="00B758CC"/>
    <w:rsid w:val="00B75EB4"/>
    <w:rsid w:val="00B76534"/>
    <w:rsid w:val="00B76720"/>
    <w:rsid w:val="00B76897"/>
    <w:rsid w:val="00B77DE4"/>
    <w:rsid w:val="00B80102"/>
    <w:rsid w:val="00B80D84"/>
    <w:rsid w:val="00B82802"/>
    <w:rsid w:val="00B83F56"/>
    <w:rsid w:val="00B84A36"/>
    <w:rsid w:val="00B84AF0"/>
    <w:rsid w:val="00B84E3F"/>
    <w:rsid w:val="00B84EEF"/>
    <w:rsid w:val="00B915DC"/>
    <w:rsid w:val="00B932DD"/>
    <w:rsid w:val="00B939ED"/>
    <w:rsid w:val="00B93EE8"/>
    <w:rsid w:val="00B953E4"/>
    <w:rsid w:val="00B95729"/>
    <w:rsid w:val="00B95843"/>
    <w:rsid w:val="00B972FC"/>
    <w:rsid w:val="00BA0190"/>
    <w:rsid w:val="00BA0744"/>
    <w:rsid w:val="00BA1E33"/>
    <w:rsid w:val="00BA656C"/>
    <w:rsid w:val="00BA658A"/>
    <w:rsid w:val="00BA6712"/>
    <w:rsid w:val="00BB1012"/>
    <w:rsid w:val="00BB1516"/>
    <w:rsid w:val="00BB227A"/>
    <w:rsid w:val="00BB22D4"/>
    <w:rsid w:val="00BB32BF"/>
    <w:rsid w:val="00BB3E13"/>
    <w:rsid w:val="00BB54D7"/>
    <w:rsid w:val="00BB574E"/>
    <w:rsid w:val="00BB5A66"/>
    <w:rsid w:val="00BB5C3A"/>
    <w:rsid w:val="00BB679C"/>
    <w:rsid w:val="00BC14F7"/>
    <w:rsid w:val="00BC1B3C"/>
    <w:rsid w:val="00BC1B8E"/>
    <w:rsid w:val="00BC1E84"/>
    <w:rsid w:val="00BC2B60"/>
    <w:rsid w:val="00BC42E1"/>
    <w:rsid w:val="00BC5675"/>
    <w:rsid w:val="00BC5DA9"/>
    <w:rsid w:val="00BC613D"/>
    <w:rsid w:val="00BC68BB"/>
    <w:rsid w:val="00BC736C"/>
    <w:rsid w:val="00BD08D7"/>
    <w:rsid w:val="00BD0D09"/>
    <w:rsid w:val="00BD0F41"/>
    <w:rsid w:val="00BD1785"/>
    <w:rsid w:val="00BD1948"/>
    <w:rsid w:val="00BD299B"/>
    <w:rsid w:val="00BD40C9"/>
    <w:rsid w:val="00BD4679"/>
    <w:rsid w:val="00BD48B2"/>
    <w:rsid w:val="00BD48FC"/>
    <w:rsid w:val="00BD5B72"/>
    <w:rsid w:val="00BD6355"/>
    <w:rsid w:val="00BD79C0"/>
    <w:rsid w:val="00BD7B1C"/>
    <w:rsid w:val="00BD7C4B"/>
    <w:rsid w:val="00BE182A"/>
    <w:rsid w:val="00BE2F6A"/>
    <w:rsid w:val="00BE36F5"/>
    <w:rsid w:val="00BE3864"/>
    <w:rsid w:val="00BE4E02"/>
    <w:rsid w:val="00BE4E26"/>
    <w:rsid w:val="00BE56B0"/>
    <w:rsid w:val="00BE5D4B"/>
    <w:rsid w:val="00BE611C"/>
    <w:rsid w:val="00BE6CDE"/>
    <w:rsid w:val="00BE7BFA"/>
    <w:rsid w:val="00BF0F99"/>
    <w:rsid w:val="00BF119D"/>
    <w:rsid w:val="00BF1570"/>
    <w:rsid w:val="00BF15EB"/>
    <w:rsid w:val="00BF1D18"/>
    <w:rsid w:val="00BF1F41"/>
    <w:rsid w:val="00BF25C0"/>
    <w:rsid w:val="00BF34FF"/>
    <w:rsid w:val="00BF3984"/>
    <w:rsid w:val="00BF4988"/>
    <w:rsid w:val="00BF5FEB"/>
    <w:rsid w:val="00C003A0"/>
    <w:rsid w:val="00C02B91"/>
    <w:rsid w:val="00C02E5B"/>
    <w:rsid w:val="00C03715"/>
    <w:rsid w:val="00C05C68"/>
    <w:rsid w:val="00C05DA6"/>
    <w:rsid w:val="00C067CF"/>
    <w:rsid w:val="00C07FA9"/>
    <w:rsid w:val="00C10692"/>
    <w:rsid w:val="00C10871"/>
    <w:rsid w:val="00C124CB"/>
    <w:rsid w:val="00C129B7"/>
    <w:rsid w:val="00C138FA"/>
    <w:rsid w:val="00C13B35"/>
    <w:rsid w:val="00C146C6"/>
    <w:rsid w:val="00C148C4"/>
    <w:rsid w:val="00C1584D"/>
    <w:rsid w:val="00C15E4E"/>
    <w:rsid w:val="00C162F6"/>
    <w:rsid w:val="00C206AE"/>
    <w:rsid w:val="00C220EA"/>
    <w:rsid w:val="00C22BB1"/>
    <w:rsid w:val="00C249CE"/>
    <w:rsid w:val="00C25AF0"/>
    <w:rsid w:val="00C27F5B"/>
    <w:rsid w:val="00C3009A"/>
    <w:rsid w:val="00C30273"/>
    <w:rsid w:val="00C302BF"/>
    <w:rsid w:val="00C302E4"/>
    <w:rsid w:val="00C30BA0"/>
    <w:rsid w:val="00C30E5D"/>
    <w:rsid w:val="00C31426"/>
    <w:rsid w:val="00C319E5"/>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47C4D"/>
    <w:rsid w:val="00C5001A"/>
    <w:rsid w:val="00C50CA4"/>
    <w:rsid w:val="00C52DC9"/>
    <w:rsid w:val="00C54C19"/>
    <w:rsid w:val="00C5527A"/>
    <w:rsid w:val="00C557DA"/>
    <w:rsid w:val="00C55F97"/>
    <w:rsid w:val="00C56EBF"/>
    <w:rsid w:val="00C57824"/>
    <w:rsid w:val="00C579E5"/>
    <w:rsid w:val="00C6011B"/>
    <w:rsid w:val="00C615ED"/>
    <w:rsid w:val="00C618CA"/>
    <w:rsid w:val="00C62256"/>
    <w:rsid w:val="00C62BA5"/>
    <w:rsid w:val="00C64253"/>
    <w:rsid w:val="00C6444A"/>
    <w:rsid w:val="00C6609D"/>
    <w:rsid w:val="00C66BF7"/>
    <w:rsid w:val="00C67E17"/>
    <w:rsid w:val="00C70C20"/>
    <w:rsid w:val="00C74323"/>
    <w:rsid w:val="00C747B1"/>
    <w:rsid w:val="00C74F54"/>
    <w:rsid w:val="00C767DA"/>
    <w:rsid w:val="00C76B44"/>
    <w:rsid w:val="00C76E33"/>
    <w:rsid w:val="00C7731E"/>
    <w:rsid w:val="00C7791E"/>
    <w:rsid w:val="00C77FC2"/>
    <w:rsid w:val="00C80280"/>
    <w:rsid w:val="00C81295"/>
    <w:rsid w:val="00C82F17"/>
    <w:rsid w:val="00C8413A"/>
    <w:rsid w:val="00C85039"/>
    <w:rsid w:val="00C856D6"/>
    <w:rsid w:val="00C85DEF"/>
    <w:rsid w:val="00C863D5"/>
    <w:rsid w:val="00C8711A"/>
    <w:rsid w:val="00C905B0"/>
    <w:rsid w:val="00C91457"/>
    <w:rsid w:val="00C91ABE"/>
    <w:rsid w:val="00C934CB"/>
    <w:rsid w:val="00C949E8"/>
    <w:rsid w:val="00C94DB1"/>
    <w:rsid w:val="00C9610C"/>
    <w:rsid w:val="00C96F86"/>
    <w:rsid w:val="00C9773B"/>
    <w:rsid w:val="00CA0B4A"/>
    <w:rsid w:val="00CA2124"/>
    <w:rsid w:val="00CA243F"/>
    <w:rsid w:val="00CA30A0"/>
    <w:rsid w:val="00CA4568"/>
    <w:rsid w:val="00CA5056"/>
    <w:rsid w:val="00CA662E"/>
    <w:rsid w:val="00CA7E28"/>
    <w:rsid w:val="00CB0860"/>
    <w:rsid w:val="00CB0FCE"/>
    <w:rsid w:val="00CB27F4"/>
    <w:rsid w:val="00CB3554"/>
    <w:rsid w:val="00CB5734"/>
    <w:rsid w:val="00CB7329"/>
    <w:rsid w:val="00CC02E1"/>
    <w:rsid w:val="00CC0E0B"/>
    <w:rsid w:val="00CC1821"/>
    <w:rsid w:val="00CC26BF"/>
    <w:rsid w:val="00CC3CC4"/>
    <w:rsid w:val="00CC521D"/>
    <w:rsid w:val="00CC535F"/>
    <w:rsid w:val="00CC605D"/>
    <w:rsid w:val="00CC6DC7"/>
    <w:rsid w:val="00CC767B"/>
    <w:rsid w:val="00CD0B84"/>
    <w:rsid w:val="00CD2191"/>
    <w:rsid w:val="00CD3089"/>
    <w:rsid w:val="00CD3D6B"/>
    <w:rsid w:val="00CD4F77"/>
    <w:rsid w:val="00CE072C"/>
    <w:rsid w:val="00CE14B6"/>
    <w:rsid w:val="00CE1767"/>
    <w:rsid w:val="00CE1B63"/>
    <w:rsid w:val="00CE1D34"/>
    <w:rsid w:val="00CE3171"/>
    <w:rsid w:val="00CE51A4"/>
    <w:rsid w:val="00CE7D13"/>
    <w:rsid w:val="00CF0FA5"/>
    <w:rsid w:val="00CF1E41"/>
    <w:rsid w:val="00CF2172"/>
    <w:rsid w:val="00CF2862"/>
    <w:rsid w:val="00CF3278"/>
    <w:rsid w:val="00CF3625"/>
    <w:rsid w:val="00CF3969"/>
    <w:rsid w:val="00CF40CE"/>
    <w:rsid w:val="00CF5B29"/>
    <w:rsid w:val="00CF5D13"/>
    <w:rsid w:val="00D01697"/>
    <w:rsid w:val="00D0173A"/>
    <w:rsid w:val="00D0253E"/>
    <w:rsid w:val="00D02BA2"/>
    <w:rsid w:val="00D03FC7"/>
    <w:rsid w:val="00D04DA5"/>
    <w:rsid w:val="00D05576"/>
    <w:rsid w:val="00D05D58"/>
    <w:rsid w:val="00D072A7"/>
    <w:rsid w:val="00D07585"/>
    <w:rsid w:val="00D07B2E"/>
    <w:rsid w:val="00D07F51"/>
    <w:rsid w:val="00D10662"/>
    <w:rsid w:val="00D10C6F"/>
    <w:rsid w:val="00D11EAB"/>
    <w:rsid w:val="00D12C60"/>
    <w:rsid w:val="00D13C5C"/>
    <w:rsid w:val="00D153D2"/>
    <w:rsid w:val="00D1591C"/>
    <w:rsid w:val="00D1704F"/>
    <w:rsid w:val="00D17795"/>
    <w:rsid w:val="00D17C9E"/>
    <w:rsid w:val="00D20F4A"/>
    <w:rsid w:val="00D213AD"/>
    <w:rsid w:val="00D2330F"/>
    <w:rsid w:val="00D2359C"/>
    <w:rsid w:val="00D25A25"/>
    <w:rsid w:val="00D2688E"/>
    <w:rsid w:val="00D31426"/>
    <w:rsid w:val="00D31F93"/>
    <w:rsid w:val="00D32E79"/>
    <w:rsid w:val="00D33D31"/>
    <w:rsid w:val="00D34B48"/>
    <w:rsid w:val="00D375E4"/>
    <w:rsid w:val="00D37F72"/>
    <w:rsid w:val="00D37FE2"/>
    <w:rsid w:val="00D411A2"/>
    <w:rsid w:val="00D463E6"/>
    <w:rsid w:val="00D46918"/>
    <w:rsid w:val="00D475C6"/>
    <w:rsid w:val="00D47A20"/>
    <w:rsid w:val="00D51921"/>
    <w:rsid w:val="00D526EA"/>
    <w:rsid w:val="00D52975"/>
    <w:rsid w:val="00D54B38"/>
    <w:rsid w:val="00D55006"/>
    <w:rsid w:val="00D5753C"/>
    <w:rsid w:val="00D609A5"/>
    <w:rsid w:val="00D62113"/>
    <w:rsid w:val="00D62585"/>
    <w:rsid w:val="00D625D1"/>
    <w:rsid w:val="00D627B3"/>
    <w:rsid w:val="00D63DEC"/>
    <w:rsid w:val="00D63E09"/>
    <w:rsid w:val="00D64615"/>
    <w:rsid w:val="00D66ED3"/>
    <w:rsid w:val="00D67371"/>
    <w:rsid w:val="00D70A81"/>
    <w:rsid w:val="00D70B7E"/>
    <w:rsid w:val="00D70FD0"/>
    <w:rsid w:val="00D71453"/>
    <w:rsid w:val="00D720EA"/>
    <w:rsid w:val="00D73493"/>
    <w:rsid w:val="00D73C6D"/>
    <w:rsid w:val="00D74629"/>
    <w:rsid w:val="00D7494A"/>
    <w:rsid w:val="00D76596"/>
    <w:rsid w:val="00D769D5"/>
    <w:rsid w:val="00D77204"/>
    <w:rsid w:val="00D80127"/>
    <w:rsid w:val="00D8070B"/>
    <w:rsid w:val="00D80871"/>
    <w:rsid w:val="00D80E90"/>
    <w:rsid w:val="00D81251"/>
    <w:rsid w:val="00D81409"/>
    <w:rsid w:val="00D82257"/>
    <w:rsid w:val="00D82CDD"/>
    <w:rsid w:val="00D8358C"/>
    <w:rsid w:val="00D83EDC"/>
    <w:rsid w:val="00D87B5F"/>
    <w:rsid w:val="00D91A33"/>
    <w:rsid w:val="00D91CE5"/>
    <w:rsid w:val="00D91E1E"/>
    <w:rsid w:val="00D93567"/>
    <w:rsid w:val="00D93C22"/>
    <w:rsid w:val="00D94521"/>
    <w:rsid w:val="00D94DA0"/>
    <w:rsid w:val="00D94EA9"/>
    <w:rsid w:val="00D967C8"/>
    <w:rsid w:val="00D97B6C"/>
    <w:rsid w:val="00D97C3D"/>
    <w:rsid w:val="00DA069E"/>
    <w:rsid w:val="00DA1D6B"/>
    <w:rsid w:val="00DA317B"/>
    <w:rsid w:val="00DA4F41"/>
    <w:rsid w:val="00DA544E"/>
    <w:rsid w:val="00DA66EC"/>
    <w:rsid w:val="00DA6B55"/>
    <w:rsid w:val="00DA7FAB"/>
    <w:rsid w:val="00DB03D8"/>
    <w:rsid w:val="00DB04CB"/>
    <w:rsid w:val="00DB0711"/>
    <w:rsid w:val="00DB083D"/>
    <w:rsid w:val="00DB1128"/>
    <w:rsid w:val="00DB1AD8"/>
    <w:rsid w:val="00DB1D09"/>
    <w:rsid w:val="00DB30FE"/>
    <w:rsid w:val="00DB41F0"/>
    <w:rsid w:val="00DB5471"/>
    <w:rsid w:val="00DB6758"/>
    <w:rsid w:val="00DB7BC9"/>
    <w:rsid w:val="00DC04FC"/>
    <w:rsid w:val="00DC093B"/>
    <w:rsid w:val="00DC0F29"/>
    <w:rsid w:val="00DC1272"/>
    <w:rsid w:val="00DC1662"/>
    <w:rsid w:val="00DC2DBE"/>
    <w:rsid w:val="00DC3BCA"/>
    <w:rsid w:val="00DC45ED"/>
    <w:rsid w:val="00DC57B3"/>
    <w:rsid w:val="00DC601A"/>
    <w:rsid w:val="00DC6178"/>
    <w:rsid w:val="00DC791A"/>
    <w:rsid w:val="00DD05C3"/>
    <w:rsid w:val="00DD14F6"/>
    <w:rsid w:val="00DD19B9"/>
    <w:rsid w:val="00DD1AD5"/>
    <w:rsid w:val="00DD1C7A"/>
    <w:rsid w:val="00DD2DAF"/>
    <w:rsid w:val="00DD38BC"/>
    <w:rsid w:val="00DD4337"/>
    <w:rsid w:val="00DD43A0"/>
    <w:rsid w:val="00DD5335"/>
    <w:rsid w:val="00DD550E"/>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0B5"/>
    <w:rsid w:val="00DE63D7"/>
    <w:rsid w:val="00DE64A9"/>
    <w:rsid w:val="00DE6942"/>
    <w:rsid w:val="00DF1828"/>
    <w:rsid w:val="00DF1C5C"/>
    <w:rsid w:val="00DF2251"/>
    <w:rsid w:val="00DF24F4"/>
    <w:rsid w:val="00DF3165"/>
    <w:rsid w:val="00DF3516"/>
    <w:rsid w:val="00DF3673"/>
    <w:rsid w:val="00DF37CE"/>
    <w:rsid w:val="00DF4847"/>
    <w:rsid w:val="00DF5D73"/>
    <w:rsid w:val="00DF6CB3"/>
    <w:rsid w:val="00DF7A30"/>
    <w:rsid w:val="00E013EB"/>
    <w:rsid w:val="00E01A06"/>
    <w:rsid w:val="00E020A9"/>
    <w:rsid w:val="00E02762"/>
    <w:rsid w:val="00E03881"/>
    <w:rsid w:val="00E038F8"/>
    <w:rsid w:val="00E04869"/>
    <w:rsid w:val="00E05D53"/>
    <w:rsid w:val="00E06DA3"/>
    <w:rsid w:val="00E076D1"/>
    <w:rsid w:val="00E076DE"/>
    <w:rsid w:val="00E10FEE"/>
    <w:rsid w:val="00E13235"/>
    <w:rsid w:val="00E13927"/>
    <w:rsid w:val="00E1678E"/>
    <w:rsid w:val="00E16BCF"/>
    <w:rsid w:val="00E16F07"/>
    <w:rsid w:val="00E173D2"/>
    <w:rsid w:val="00E179E7"/>
    <w:rsid w:val="00E203C1"/>
    <w:rsid w:val="00E20EB7"/>
    <w:rsid w:val="00E2188D"/>
    <w:rsid w:val="00E22621"/>
    <w:rsid w:val="00E22779"/>
    <w:rsid w:val="00E22A92"/>
    <w:rsid w:val="00E22F8C"/>
    <w:rsid w:val="00E23EF0"/>
    <w:rsid w:val="00E23F69"/>
    <w:rsid w:val="00E243F5"/>
    <w:rsid w:val="00E24E0D"/>
    <w:rsid w:val="00E24E46"/>
    <w:rsid w:val="00E2589F"/>
    <w:rsid w:val="00E25AA1"/>
    <w:rsid w:val="00E25CCB"/>
    <w:rsid w:val="00E27EED"/>
    <w:rsid w:val="00E30071"/>
    <w:rsid w:val="00E30298"/>
    <w:rsid w:val="00E31C9B"/>
    <w:rsid w:val="00E32F09"/>
    <w:rsid w:val="00E33152"/>
    <w:rsid w:val="00E34BAC"/>
    <w:rsid w:val="00E37941"/>
    <w:rsid w:val="00E40212"/>
    <w:rsid w:val="00E420F4"/>
    <w:rsid w:val="00E425E2"/>
    <w:rsid w:val="00E43C0F"/>
    <w:rsid w:val="00E46036"/>
    <w:rsid w:val="00E51535"/>
    <w:rsid w:val="00E5316E"/>
    <w:rsid w:val="00E5510E"/>
    <w:rsid w:val="00E55A7D"/>
    <w:rsid w:val="00E55A9A"/>
    <w:rsid w:val="00E60697"/>
    <w:rsid w:val="00E612C8"/>
    <w:rsid w:val="00E61568"/>
    <w:rsid w:val="00E621B7"/>
    <w:rsid w:val="00E6292B"/>
    <w:rsid w:val="00E63955"/>
    <w:rsid w:val="00E641C3"/>
    <w:rsid w:val="00E64AAB"/>
    <w:rsid w:val="00E678FF"/>
    <w:rsid w:val="00E67A6A"/>
    <w:rsid w:val="00E67F7B"/>
    <w:rsid w:val="00E70598"/>
    <w:rsid w:val="00E70DAF"/>
    <w:rsid w:val="00E730A1"/>
    <w:rsid w:val="00E73329"/>
    <w:rsid w:val="00E7437F"/>
    <w:rsid w:val="00E74715"/>
    <w:rsid w:val="00E75F13"/>
    <w:rsid w:val="00E77069"/>
    <w:rsid w:val="00E805C2"/>
    <w:rsid w:val="00E80BDC"/>
    <w:rsid w:val="00E80C84"/>
    <w:rsid w:val="00E80F91"/>
    <w:rsid w:val="00E816FD"/>
    <w:rsid w:val="00E81CF2"/>
    <w:rsid w:val="00E82933"/>
    <w:rsid w:val="00E83289"/>
    <w:rsid w:val="00E83FF8"/>
    <w:rsid w:val="00E8419F"/>
    <w:rsid w:val="00E84B96"/>
    <w:rsid w:val="00E85955"/>
    <w:rsid w:val="00E865FC"/>
    <w:rsid w:val="00E867F7"/>
    <w:rsid w:val="00E87230"/>
    <w:rsid w:val="00E8773E"/>
    <w:rsid w:val="00E91822"/>
    <w:rsid w:val="00E91A44"/>
    <w:rsid w:val="00E925F8"/>
    <w:rsid w:val="00E937B0"/>
    <w:rsid w:val="00E93B88"/>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4AAF"/>
    <w:rsid w:val="00EB5148"/>
    <w:rsid w:val="00EB5A99"/>
    <w:rsid w:val="00EB5F6F"/>
    <w:rsid w:val="00EB65B3"/>
    <w:rsid w:val="00EC07E0"/>
    <w:rsid w:val="00EC0C20"/>
    <w:rsid w:val="00EC2134"/>
    <w:rsid w:val="00EC34C3"/>
    <w:rsid w:val="00EC37E6"/>
    <w:rsid w:val="00EC4389"/>
    <w:rsid w:val="00EC4D80"/>
    <w:rsid w:val="00EC6FED"/>
    <w:rsid w:val="00EC7744"/>
    <w:rsid w:val="00ED245F"/>
    <w:rsid w:val="00ED29C6"/>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3D6"/>
    <w:rsid w:val="00EE1F10"/>
    <w:rsid w:val="00EE2263"/>
    <w:rsid w:val="00EE33B7"/>
    <w:rsid w:val="00EE3DCD"/>
    <w:rsid w:val="00EE3F6B"/>
    <w:rsid w:val="00EE4AF2"/>
    <w:rsid w:val="00EE537A"/>
    <w:rsid w:val="00EE540D"/>
    <w:rsid w:val="00EF009B"/>
    <w:rsid w:val="00EF1E29"/>
    <w:rsid w:val="00EF2F03"/>
    <w:rsid w:val="00EF2FE1"/>
    <w:rsid w:val="00EF347F"/>
    <w:rsid w:val="00EF364D"/>
    <w:rsid w:val="00EF3C2B"/>
    <w:rsid w:val="00EF413C"/>
    <w:rsid w:val="00EF64E3"/>
    <w:rsid w:val="00F003AC"/>
    <w:rsid w:val="00F012B3"/>
    <w:rsid w:val="00F0164D"/>
    <w:rsid w:val="00F02273"/>
    <w:rsid w:val="00F02470"/>
    <w:rsid w:val="00F04A80"/>
    <w:rsid w:val="00F05058"/>
    <w:rsid w:val="00F05661"/>
    <w:rsid w:val="00F06CD1"/>
    <w:rsid w:val="00F0735B"/>
    <w:rsid w:val="00F1165D"/>
    <w:rsid w:val="00F117F4"/>
    <w:rsid w:val="00F11DDB"/>
    <w:rsid w:val="00F12E86"/>
    <w:rsid w:val="00F13B3E"/>
    <w:rsid w:val="00F143E9"/>
    <w:rsid w:val="00F1555B"/>
    <w:rsid w:val="00F15811"/>
    <w:rsid w:val="00F159EF"/>
    <w:rsid w:val="00F1718A"/>
    <w:rsid w:val="00F21257"/>
    <w:rsid w:val="00F21469"/>
    <w:rsid w:val="00F21DD7"/>
    <w:rsid w:val="00F21FE4"/>
    <w:rsid w:val="00F2221B"/>
    <w:rsid w:val="00F23578"/>
    <w:rsid w:val="00F243FD"/>
    <w:rsid w:val="00F25646"/>
    <w:rsid w:val="00F2584B"/>
    <w:rsid w:val="00F263EC"/>
    <w:rsid w:val="00F26B28"/>
    <w:rsid w:val="00F26BDF"/>
    <w:rsid w:val="00F279FE"/>
    <w:rsid w:val="00F31581"/>
    <w:rsid w:val="00F3170F"/>
    <w:rsid w:val="00F317C9"/>
    <w:rsid w:val="00F31E09"/>
    <w:rsid w:val="00F3215C"/>
    <w:rsid w:val="00F32D8A"/>
    <w:rsid w:val="00F33EA3"/>
    <w:rsid w:val="00F34726"/>
    <w:rsid w:val="00F35AE0"/>
    <w:rsid w:val="00F35D14"/>
    <w:rsid w:val="00F35D9A"/>
    <w:rsid w:val="00F37013"/>
    <w:rsid w:val="00F37086"/>
    <w:rsid w:val="00F374B7"/>
    <w:rsid w:val="00F378A0"/>
    <w:rsid w:val="00F4109A"/>
    <w:rsid w:val="00F417BE"/>
    <w:rsid w:val="00F4315C"/>
    <w:rsid w:val="00F43339"/>
    <w:rsid w:val="00F464A0"/>
    <w:rsid w:val="00F46582"/>
    <w:rsid w:val="00F468F6"/>
    <w:rsid w:val="00F46ABB"/>
    <w:rsid w:val="00F474C9"/>
    <w:rsid w:val="00F5022B"/>
    <w:rsid w:val="00F50C12"/>
    <w:rsid w:val="00F51325"/>
    <w:rsid w:val="00F519E1"/>
    <w:rsid w:val="00F51E0F"/>
    <w:rsid w:val="00F5231E"/>
    <w:rsid w:val="00F534EB"/>
    <w:rsid w:val="00F536D0"/>
    <w:rsid w:val="00F53B79"/>
    <w:rsid w:val="00F53D8A"/>
    <w:rsid w:val="00F553DD"/>
    <w:rsid w:val="00F554B0"/>
    <w:rsid w:val="00F5742D"/>
    <w:rsid w:val="00F57A21"/>
    <w:rsid w:val="00F57BED"/>
    <w:rsid w:val="00F60317"/>
    <w:rsid w:val="00F60F55"/>
    <w:rsid w:val="00F638E5"/>
    <w:rsid w:val="00F66EE7"/>
    <w:rsid w:val="00F66F62"/>
    <w:rsid w:val="00F67B8F"/>
    <w:rsid w:val="00F7052B"/>
    <w:rsid w:val="00F70913"/>
    <w:rsid w:val="00F70D88"/>
    <w:rsid w:val="00F71247"/>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76FF5"/>
    <w:rsid w:val="00F80D43"/>
    <w:rsid w:val="00F81378"/>
    <w:rsid w:val="00F818C0"/>
    <w:rsid w:val="00F8226E"/>
    <w:rsid w:val="00F8414E"/>
    <w:rsid w:val="00F845C2"/>
    <w:rsid w:val="00F858F5"/>
    <w:rsid w:val="00F85CE4"/>
    <w:rsid w:val="00F87EE8"/>
    <w:rsid w:val="00F9024C"/>
    <w:rsid w:val="00F911D0"/>
    <w:rsid w:val="00F92B6B"/>
    <w:rsid w:val="00F941F3"/>
    <w:rsid w:val="00F95B06"/>
    <w:rsid w:val="00FA1641"/>
    <w:rsid w:val="00FA1A3C"/>
    <w:rsid w:val="00FA1A42"/>
    <w:rsid w:val="00FA26A2"/>
    <w:rsid w:val="00FA26DC"/>
    <w:rsid w:val="00FA3E23"/>
    <w:rsid w:val="00FA4070"/>
    <w:rsid w:val="00FA4DB7"/>
    <w:rsid w:val="00FA5994"/>
    <w:rsid w:val="00FA5EEA"/>
    <w:rsid w:val="00FA783A"/>
    <w:rsid w:val="00FB002D"/>
    <w:rsid w:val="00FB1D4A"/>
    <w:rsid w:val="00FB3848"/>
    <w:rsid w:val="00FB4B91"/>
    <w:rsid w:val="00FB4FEB"/>
    <w:rsid w:val="00FB58D8"/>
    <w:rsid w:val="00FB5B5D"/>
    <w:rsid w:val="00FB5DE7"/>
    <w:rsid w:val="00FB61B5"/>
    <w:rsid w:val="00FB648A"/>
    <w:rsid w:val="00FB6977"/>
    <w:rsid w:val="00FB6DCB"/>
    <w:rsid w:val="00FB6FE3"/>
    <w:rsid w:val="00FB76A2"/>
    <w:rsid w:val="00FB7836"/>
    <w:rsid w:val="00FC08F5"/>
    <w:rsid w:val="00FC11E9"/>
    <w:rsid w:val="00FC3B3E"/>
    <w:rsid w:val="00FC4091"/>
    <w:rsid w:val="00FC70EA"/>
    <w:rsid w:val="00FD0551"/>
    <w:rsid w:val="00FD0D3C"/>
    <w:rsid w:val="00FD1411"/>
    <w:rsid w:val="00FD3067"/>
    <w:rsid w:val="00FD3242"/>
    <w:rsid w:val="00FD5D29"/>
    <w:rsid w:val="00FD7388"/>
    <w:rsid w:val="00FE04A9"/>
    <w:rsid w:val="00FE0B86"/>
    <w:rsid w:val="00FE3774"/>
    <w:rsid w:val="00FE3FF5"/>
    <w:rsid w:val="00FE4508"/>
    <w:rsid w:val="00FE4FF5"/>
    <w:rsid w:val="00FE5112"/>
    <w:rsid w:val="00FE5BBD"/>
    <w:rsid w:val="00FE60C1"/>
    <w:rsid w:val="00FE7F5F"/>
    <w:rsid w:val="00FF0239"/>
    <w:rsid w:val="00FF0BED"/>
    <w:rsid w:val="00FF0D97"/>
    <w:rsid w:val="00FF1843"/>
    <w:rsid w:val="00FF253B"/>
    <w:rsid w:val="00FF3C97"/>
    <w:rsid w:val="00FF461A"/>
    <w:rsid w:val="00FF4C05"/>
    <w:rsid w:val="00FF4D18"/>
    <w:rsid w:val="00FF5307"/>
    <w:rsid w:val="00FF5829"/>
    <w:rsid w:val="00FF5F91"/>
    <w:rsid w:val="00FF6233"/>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rPr>
      <w:lang w:val="es-MX"/>
    </w:rPr>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A73F5"/>
    <w:rPr>
      <w:rFonts w:ascii="Times New Roman" w:hAnsi="Times New Roman" w:cs="Times New Roman"/>
      <w:sz w:val="24"/>
      <w:szCs w:val="24"/>
    </w:rPr>
  </w:style>
  <w:style w:type="numbering" w:customStyle="1" w:styleId="Listaactual1">
    <w:name w:val="Lista actual1"/>
    <w:uiPriority w:val="99"/>
    <w:rsid w:val="00166BD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111">
      <w:bodyDiv w:val="1"/>
      <w:marLeft w:val="0"/>
      <w:marRight w:val="0"/>
      <w:marTop w:val="0"/>
      <w:marBottom w:val="0"/>
      <w:divBdr>
        <w:top w:val="none" w:sz="0" w:space="0" w:color="auto"/>
        <w:left w:val="none" w:sz="0" w:space="0" w:color="auto"/>
        <w:bottom w:val="none" w:sz="0" w:space="0" w:color="auto"/>
        <w:right w:val="none" w:sz="0" w:space="0" w:color="auto"/>
      </w:divBdr>
    </w:div>
    <w:div w:id="12195044">
      <w:bodyDiv w:val="1"/>
      <w:marLeft w:val="0"/>
      <w:marRight w:val="0"/>
      <w:marTop w:val="0"/>
      <w:marBottom w:val="0"/>
      <w:divBdr>
        <w:top w:val="none" w:sz="0" w:space="0" w:color="auto"/>
        <w:left w:val="none" w:sz="0" w:space="0" w:color="auto"/>
        <w:bottom w:val="none" w:sz="0" w:space="0" w:color="auto"/>
        <w:right w:val="none" w:sz="0" w:space="0" w:color="auto"/>
      </w:divBdr>
    </w:div>
    <w:div w:id="44184905">
      <w:bodyDiv w:val="1"/>
      <w:marLeft w:val="0"/>
      <w:marRight w:val="0"/>
      <w:marTop w:val="0"/>
      <w:marBottom w:val="0"/>
      <w:divBdr>
        <w:top w:val="none" w:sz="0" w:space="0" w:color="auto"/>
        <w:left w:val="none" w:sz="0" w:space="0" w:color="auto"/>
        <w:bottom w:val="none" w:sz="0" w:space="0" w:color="auto"/>
        <w:right w:val="none" w:sz="0" w:space="0" w:color="auto"/>
      </w:divBdr>
      <w:divsChild>
        <w:div w:id="1536192647">
          <w:marLeft w:val="0"/>
          <w:marRight w:val="0"/>
          <w:marTop w:val="0"/>
          <w:marBottom w:val="0"/>
          <w:divBdr>
            <w:top w:val="none" w:sz="0" w:space="0" w:color="auto"/>
            <w:left w:val="none" w:sz="0" w:space="0" w:color="auto"/>
            <w:bottom w:val="none" w:sz="0" w:space="0" w:color="auto"/>
            <w:right w:val="none" w:sz="0" w:space="0" w:color="auto"/>
          </w:divBdr>
          <w:divsChild>
            <w:div w:id="1844127142">
              <w:marLeft w:val="0"/>
              <w:marRight w:val="0"/>
              <w:marTop w:val="0"/>
              <w:marBottom w:val="0"/>
              <w:divBdr>
                <w:top w:val="none" w:sz="0" w:space="0" w:color="auto"/>
                <w:left w:val="none" w:sz="0" w:space="0" w:color="auto"/>
                <w:bottom w:val="none" w:sz="0" w:space="0" w:color="auto"/>
                <w:right w:val="none" w:sz="0" w:space="0" w:color="auto"/>
              </w:divBdr>
              <w:divsChild>
                <w:div w:id="2097290328">
                  <w:marLeft w:val="0"/>
                  <w:marRight w:val="0"/>
                  <w:marTop w:val="0"/>
                  <w:marBottom w:val="0"/>
                  <w:divBdr>
                    <w:top w:val="none" w:sz="0" w:space="0" w:color="auto"/>
                    <w:left w:val="none" w:sz="0" w:space="0" w:color="auto"/>
                    <w:bottom w:val="none" w:sz="0" w:space="0" w:color="auto"/>
                    <w:right w:val="none" w:sz="0" w:space="0" w:color="auto"/>
                  </w:divBdr>
                  <w:divsChild>
                    <w:div w:id="244649778">
                      <w:marLeft w:val="0"/>
                      <w:marRight w:val="0"/>
                      <w:marTop w:val="0"/>
                      <w:marBottom w:val="0"/>
                      <w:divBdr>
                        <w:top w:val="none" w:sz="0" w:space="0" w:color="auto"/>
                        <w:left w:val="none" w:sz="0" w:space="0" w:color="auto"/>
                        <w:bottom w:val="none" w:sz="0" w:space="0" w:color="auto"/>
                        <w:right w:val="none" w:sz="0" w:space="0" w:color="auto"/>
                      </w:divBdr>
                      <w:divsChild>
                        <w:div w:id="1940407084">
                          <w:marLeft w:val="0"/>
                          <w:marRight w:val="0"/>
                          <w:marTop w:val="0"/>
                          <w:marBottom w:val="0"/>
                          <w:divBdr>
                            <w:top w:val="none" w:sz="0" w:space="0" w:color="auto"/>
                            <w:left w:val="none" w:sz="0" w:space="0" w:color="auto"/>
                            <w:bottom w:val="none" w:sz="0" w:space="0" w:color="auto"/>
                            <w:right w:val="none" w:sz="0" w:space="0" w:color="auto"/>
                          </w:divBdr>
                          <w:divsChild>
                            <w:div w:id="1334456690">
                              <w:marLeft w:val="0"/>
                              <w:marRight w:val="0"/>
                              <w:marTop w:val="0"/>
                              <w:marBottom w:val="0"/>
                              <w:divBdr>
                                <w:top w:val="none" w:sz="0" w:space="0" w:color="auto"/>
                                <w:left w:val="none" w:sz="0" w:space="0" w:color="auto"/>
                                <w:bottom w:val="none" w:sz="0" w:space="0" w:color="auto"/>
                                <w:right w:val="none" w:sz="0" w:space="0" w:color="auto"/>
                              </w:divBdr>
                              <w:divsChild>
                                <w:div w:id="460225877">
                                  <w:marLeft w:val="0"/>
                                  <w:marRight w:val="0"/>
                                  <w:marTop w:val="0"/>
                                  <w:marBottom w:val="0"/>
                                  <w:divBdr>
                                    <w:top w:val="none" w:sz="0" w:space="0" w:color="auto"/>
                                    <w:left w:val="none" w:sz="0" w:space="0" w:color="auto"/>
                                    <w:bottom w:val="none" w:sz="0" w:space="0" w:color="auto"/>
                                    <w:right w:val="none" w:sz="0" w:space="0" w:color="auto"/>
                                  </w:divBdr>
                                  <w:divsChild>
                                    <w:div w:id="20786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18111">
      <w:bodyDiv w:val="1"/>
      <w:marLeft w:val="0"/>
      <w:marRight w:val="0"/>
      <w:marTop w:val="0"/>
      <w:marBottom w:val="0"/>
      <w:divBdr>
        <w:top w:val="none" w:sz="0" w:space="0" w:color="auto"/>
        <w:left w:val="none" w:sz="0" w:space="0" w:color="auto"/>
        <w:bottom w:val="none" w:sz="0" w:space="0" w:color="auto"/>
        <w:right w:val="none" w:sz="0" w:space="0" w:color="auto"/>
      </w:divBdr>
    </w:div>
    <w:div w:id="61756722">
      <w:bodyDiv w:val="1"/>
      <w:marLeft w:val="0"/>
      <w:marRight w:val="0"/>
      <w:marTop w:val="0"/>
      <w:marBottom w:val="0"/>
      <w:divBdr>
        <w:top w:val="none" w:sz="0" w:space="0" w:color="auto"/>
        <w:left w:val="none" w:sz="0" w:space="0" w:color="auto"/>
        <w:bottom w:val="none" w:sz="0" w:space="0" w:color="auto"/>
        <w:right w:val="none" w:sz="0" w:space="0" w:color="auto"/>
      </w:divBdr>
      <w:divsChild>
        <w:div w:id="6804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69923">
      <w:bodyDiv w:val="1"/>
      <w:marLeft w:val="0"/>
      <w:marRight w:val="0"/>
      <w:marTop w:val="0"/>
      <w:marBottom w:val="0"/>
      <w:divBdr>
        <w:top w:val="none" w:sz="0" w:space="0" w:color="auto"/>
        <w:left w:val="none" w:sz="0" w:space="0" w:color="auto"/>
        <w:bottom w:val="none" w:sz="0" w:space="0" w:color="auto"/>
        <w:right w:val="none" w:sz="0" w:space="0" w:color="auto"/>
      </w:divBdr>
    </w:div>
    <w:div w:id="119885312">
      <w:bodyDiv w:val="1"/>
      <w:marLeft w:val="0"/>
      <w:marRight w:val="0"/>
      <w:marTop w:val="0"/>
      <w:marBottom w:val="0"/>
      <w:divBdr>
        <w:top w:val="none" w:sz="0" w:space="0" w:color="auto"/>
        <w:left w:val="none" w:sz="0" w:space="0" w:color="auto"/>
        <w:bottom w:val="none" w:sz="0" w:space="0" w:color="auto"/>
        <w:right w:val="none" w:sz="0" w:space="0" w:color="auto"/>
      </w:divBdr>
    </w:div>
    <w:div w:id="135144503">
      <w:bodyDiv w:val="1"/>
      <w:marLeft w:val="0"/>
      <w:marRight w:val="0"/>
      <w:marTop w:val="0"/>
      <w:marBottom w:val="0"/>
      <w:divBdr>
        <w:top w:val="none" w:sz="0" w:space="0" w:color="auto"/>
        <w:left w:val="none" w:sz="0" w:space="0" w:color="auto"/>
        <w:bottom w:val="none" w:sz="0" w:space="0" w:color="auto"/>
        <w:right w:val="none" w:sz="0" w:space="0" w:color="auto"/>
      </w:divBdr>
    </w:div>
    <w:div w:id="154734234">
      <w:bodyDiv w:val="1"/>
      <w:marLeft w:val="0"/>
      <w:marRight w:val="0"/>
      <w:marTop w:val="0"/>
      <w:marBottom w:val="0"/>
      <w:divBdr>
        <w:top w:val="none" w:sz="0" w:space="0" w:color="auto"/>
        <w:left w:val="none" w:sz="0" w:space="0" w:color="auto"/>
        <w:bottom w:val="none" w:sz="0" w:space="0" w:color="auto"/>
        <w:right w:val="none" w:sz="0" w:space="0" w:color="auto"/>
      </w:divBdr>
    </w:div>
    <w:div w:id="154996280">
      <w:bodyDiv w:val="1"/>
      <w:marLeft w:val="0"/>
      <w:marRight w:val="0"/>
      <w:marTop w:val="0"/>
      <w:marBottom w:val="0"/>
      <w:divBdr>
        <w:top w:val="none" w:sz="0" w:space="0" w:color="auto"/>
        <w:left w:val="none" w:sz="0" w:space="0" w:color="auto"/>
        <w:bottom w:val="none" w:sz="0" w:space="0" w:color="auto"/>
        <w:right w:val="none" w:sz="0" w:space="0" w:color="auto"/>
      </w:divBdr>
      <w:divsChild>
        <w:div w:id="197744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7225">
      <w:bodyDiv w:val="1"/>
      <w:marLeft w:val="0"/>
      <w:marRight w:val="0"/>
      <w:marTop w:val="0"/>
      <w:marBottom w:val="0"/>
      <w:divBdr>
        <w:top w:val="none" w:sz="0" w:space="0" w:color="auto"/>
        <w:left w:val="none" w:sz="0" w:space="0" w:color="auto"/>
        <w:bottom w:val="none" w:sz="0" w:space="0" w:color="auto"/>
        <w:right w:val="none" w:sz="0" w:space="0" w:color="auto"/>
      </w:divBdr>
    </w:div>
    <w:div w:id="191260443">
      <w:bodyDiv w:val="1"/>
      <w:marLeft w:val="0"/>
      <w:marRight w:val="0"/>
      <w:marTop w:val="0"/>
      <w:marBottom w:val="0"/>
      <w:divBdr>
        <w:top w:val="none" w:sz="0" w:space="0" w:color="auto"/>
        <w:left w:val="none" w:sz="0" w:space="0" w:color="auto"/>
        <w:bottom w:val="none" w:sz="0" w:space="0" w:color="auto"/>
        <w:right w:val="none" w:sz="0" w:space="0" w:color="auto"/>
      </w:divBdr>
      <w:divsChild>
        <w:div w:id="71006747">
          <w:marLeft w:val="0"/>
          <w:marRight w:val="0"/>
          <w:marTop w:val="0"/>
          <w:marBottom w:val="0"/>
          <w:divBdr>
            <w:top w:val="none" w:sz="0" w:space="0" w:color="auto"/>
            <w:left w:val="none" w:sz="0" w:space="0" w:color="auto"/>
            <w:bottom w:val="none" w:sz="0" w:space="0" w:color="auto"/>
            <w:right w:val="none" w:sz="0" w:space="0" w:color="auto"/>
          </w:divBdr>
          <w:divsChild>
            <w:div w:id="595555466">
              <w:marLeft w:val="0"/>
              <w:marRight w:val="0"/>
              <w:marTop w:val="0"/>
              <w:marBottom w:val="0"/>
              <w:divBdr>
                <w:top w:val="none" w:sz="0" w:space="0" w:color="auto"/>
                <w:left w:val="none" w:sz="0" w:space="0" w:color="auto"/>
                <w:bottom w:val="none" w:sz="0" w:space="0" w:color="auto"/>
                <w:right w:val="none" w:sz="0" w:space="0" w:color="auto"/>
              </w:divBdr>
              <w:divsChild>
                <w:div w:id="592784104">
                  <w:marLeft w:val="0"/>
                  <w:marRight w:val="0"/>
                  <w:marTop w:val="0"/>
                  <w:marBottom w:val="0"/>
                  <w:divBdr>
                    <w:top w:val="none" w:sz="0" w:space="0" w:color="auto"/>
                    <w:left w:val="none" w:sz="0" w:space="0" w:color="auto"/>
                    <w:bottom w:val="none" w:sz="0" w:space="0" w:color="auto"/>
                    <w:right w:val="none" w:sz="0" w:space="0" w:color="auto"/>
                  </w:divBdr>
                  <w:divsChild>
                    <w:div w:id="499780159">
                      <w:marLeft w:val="0"/>
                      <w:marRight w:val="0"/>
                      <w:marTop w:val="0"/>
                      <w:marBottom w:val="0"/>
                      <w:divBdr>
                        <w:top w:val="none" w:sz="0" w:space="0" w:color="auto"/>
                        <w:left w:val="none" w:sz="0" w:space="0" w:color="auto"/>
                        <w:bottom w:val="none" w:sz="0" w:space="0" w:color="auto"/>
                        <w:right w:val="none" w:sz="0" w:space="0" w:color="auto"/>
                      </w:divBdr>
                      <w:divsChild>
                        <w:div w:id="910195131">
                          <w:marLeft w:val="0"/>
                          <w:marRight w:val="0"/>
                          <w:marTop w:val="0"/>
                          <w:marBottom w:val="0"/>
                          <w:divBdr>
                            <w:top w:val="none" w:sz="0" w:space="0" w:color="auto"/>
                            <w:left w:val="none" w:sz="0" w:space="0" w:color="auto"/>
                            <w:bottom w:val="none" w:sz="0" w:space="0" w:color="auto"/>
                            <w:right w:val="none" w:sz="0" w:space="0" w:color="auto"/>
                          </w:divBdr>
                          <w:divsChild>
                            <w:div w:id="945961289">
                              <w:marLeft w:val="0"/>
                              <w:marRight w:val="0"/>
                              <w:marTop w:val="0"/>
                              <w:marBottom w:val="0"/>
                              <w:divBdr>
                                <w:top w:val="none" w:sz="0" w:space="0" w:color="auto"/>
                                <w:left w:val="none" w:sz="0" w:space="0" w:color="auto"/>
                                <w:bottom w:val="none" w:sz="0" w:space="0" w:color="auto"/>
                                <w:right w:val="none" w:sz="0" w:space="0" w:color="auto"/>
                              </w:divBdr>
                              <w:divsChild>
                                <w:div w:id="997458131">
                                  <w:marLeft w:val="0"/>
                                  <w:marRight w:val="0"/>
                                  <w:marTop w:val="0"/>
                                  <w:marBottom w:val="0"/>
                                  <w:divBdr>
                                    <w:top w:val="none" w:sz="0" w:space="0" w:color="auto"/>
                                    <w:left w:val="none" w:sz="0" w:space="0" w:color="auto"/>
                                    <w:bottom w:val="none" w:sz="0" w:space="0" w:color="auto"/>
                                    <w:right w:val="none" w:sz="0" w:space="0" w:color="auto"/>
                                  </w:divBdr>
                                  <w:divsChild>
                                    <w:div w:id="130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1164">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7301123">
      <w:bodyDiv w:val="1"/>
      <w:marLeft w:val="0"/>
      <w:marRight w:val="0"/>
      <w:marTop w:val="0"/>
      <w:marBottom w:val="0"/>
      <w:divBdr>
        <w:top w:val="none" w:sz="0" w:space="0" w:color="auto"/>
        <w:left w:val="none" w:sz="0" w:space="0" w:color="auto"/>
        <w:bottom w:val="none" w:sz="0" w:space="0" w:color="auto"/>
        <w:right w:val="none" w:sz="0" w:space="0" w:color="auto"/>
      </w:divBdr>
    </w:div>
    <w:div w:id="243031405">
      <w:bodyDiv w:val="1"/>
      <w:marLeft w:val="0"/>
      <w:marRight w:val="0"/>
      <w:marTop w:val="0"/>
      <w:marBottom w:val="0"/>
      <w:divBdr>
        <w:top w:val="none" w:sz="0" w:space="0" w:color="auto"/>
        <w:left w:val="none" w:sz="0" w:space="0" w:color="auto"/>
        <w:bottom w:val="none" w:sz="0" w:space="0" w:color="auto"/>
        <w:right w:val="none" w:sz="0" w:space="0" w:color="auto"/>
      </w:divBdr>
    </w:div>
    <w:div w:id="256526998">
      <w:bodyDiv w:val="1"/>
      <w:marLeft w:val="0"/>
      <w:marRight w:val="0"/>
      <w:marTop w:val="0"/>
      <w:marBottom w:val="0"/>
      <w:divBdr>
        <w:top w:val="none" w:sz="0" w:space="0" w:color="auto"/>
        <w:left w:val="none" w:sz="0" w:space="0" w:color="auto"/>
        <w:bottom w:val="none" w:sz="0" w:space="0" w:color="auto"/>
        <w:right w:val="none" w:sz="0" w:space="0" w:color="auto"/>
      </w:divBdr>
    </w:div>
    <w:div w:id="257643059">
      <w:bodyDiv w:val="1"/>
      <w:marLeft w:val="0"/>
      <w:marRight w:val="0"/>
      <w:marTop w:val="0"/>
      <w:marBottom w:val="0"/>
      <w:divBdr>
        <w:top w:val="none" w:sz="0" w:space="0" w:color="auto"/>
        <w:left w:val="none" w:sz="0" w:space="0" w:color="auto"/>
        <w:bottom w:val="none" w:sz="0" w:space="0" w:color="auto"/>
        <w:right w:val="none" w:sz="0" w:space="0" w:color="auto"/>
      </w:divBdr>
    </w:div>
    <w:div w:id="274942298">
      <w:bodyDiv w:val="1"/>
      <w:marLeft w:val="0"/>
      <w:marRight w:val="0"/>
      <w:marTop w:val="0"/>
      <w:marBottom w:val="0"/>
      <w:divBdr>
        <w:top w:val="none" w:sz="0" w:space="0" w:color="auto"/>
        <w:left w:val="none" w:sz="0" w:space="0" w:color="auto"/>
        <w:bottom w:val="none" w:sz="0" w:space="0" w:color="auto"/>
        <w:right w:val="none" w:sz="0" w:space="0" w:color="auto"/>
      </w:divBdr>
    </w:div>
    <w:div w:id="276910877">
      <w:bodyDiv w:val="1"/>
      <w:marLeft w:val="0"/>
      <w:marRight w:val="0"/>
      <w:marTop w:val="0"/>
      <w:marBottom w:val="0"/>
      <w:divBdr>
        <w:top w:val="none" w:sz="0" w:space="0" w:color="auto"/>
        <w:left w:val="none" w:sz="0" w:space="0" w:color="auto"/>
        <w:bottom w:val="none" w:sz="0" w:space="0" w:color="auto"/>
        <w:right w:val="none" w:sz="0" w:space="0" w:color="auto"/>
      </w:divBdr>
    </w:div>
    <w:div w:id="278411820">
      <w:bodyDiv w:val="1"/>
      <w:marLeft w:val="0"/>
      <w:marRight w:val="0"/>
      <w:marTop w:val="0"/>
      <w:marBottom w:val="0"/>
      <w:divBdr>
        <w:top w:val="none" w:sz="0" w:space="0" w:color="auto"/>
        <w:left w:val="none" w:sz="0" w:space="0" w:color="auto"/>
        <w:bottom w:val="none" w:sz="0" w:space="0" w:color="auto"/>
        <w:right w:val="none" w:sz="0" w:space="0" w:color="auto"/>
      </w:divBdr>
      <w:divsChild>
        <w:div w:id="1630435133">
          <w:marLeft w:val="0"/>
          <w:marRight w:val="0"/>
          <w:marTop w:val="0"/>
          <w:marBottom w:val="0"/>
          <w:divBdr>
            <w:top w:val="none" w:sz="0" w:space="0" w:color="auto"/>
            <w:left w:val="none" w:sz="0" w:space="0" w:color="auto"/>
            <w:bottom w:val="none" w:sz="0" w:space="0" w:color="auto"/>
            <w:right w:val="none" w:sz="0" w:space="0" w:color="auto"/>
          </w:divBdr>
          <w:divsChild>
            <w:div w:id="1495802635">
              <w:marLeft w:val="0"/>
              <w:marRight w:val="0"/>
              <w:marTop w:val="0"/>
              <w:marBottom w:val="0"/>
              <w:divBdr>
                <w:top w:val="none" w:sz="0" w:space="0" w:color="auto"/>
                <w:left w:val="none" w:sz="0" w:space="0" w:color="auto"/>
                <w:bottom w:val="none" w:sz="0" w:space="0" w:color="auto"/>
                <w:right w:val="none" w:sz="0" w:space="0" w:color="auto"/>
              </w:divBdr>
              <w:divsChild>
                <w:div w:id="16175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76867">
      <w:bodyDiv w:val="1"/>
      <w:marLeft w:val="0"/>
      <w:marRight w:val="0"/>
      <w:marTop w:val="0"/>
      <w:marBottom w:val="0"/>
      <w:divBdr>
        <w:top w:val="none" w:sz="0" w:space="0" w:color="auto"/>
        <w:left w:val="none" w:sz="0" w:space="0" w:color="auto"/>
        <w:bottom w:val="none" w:sz="0" w:space="0" w:color="auto"/>
        <w:right w:val="none" w:sz="0" w:space="0" w:color="auto"/>
      </w:divBdr>
    </w:div>
    <w:div w:id="299768487">
      <w:bodyDiv w:val="1"/>
      <w:marLeft w:val="0"/>
      <w:marRight w:val="0"/>
      <w:marTop w:val="0"/>
      <w:marBottom w:val="0"/>
      <w:divBdr>
        <w:top w:val="none" w:sz="0" w:space="0" w:color="auto"/>
        <w:left w:val="none" w:sz="0" w:space="0" w:color="auto"/>
        <w:bottom w:val="none" w:sz="0" w:space="0" w:color="auto"/>
        <w:right w:val="none" w:sz="0" w:space="0" w:color="auto"/>
      </w:divBdr>
      <w:divsChild>
        <w:div w:id="674696607">
          <w:marLeft w:val="0"/>
          <w:marRight w:val="0"/>
          <w:marTop w:val="0"/>
          <w:marBottom w:val="0"/>
          <w:divBdr>
            <w:top w:val="none" w:sz="0" w:space="0" w:color="auto"/>
            <w:left w:val="none" w:sz="0" w:space="0" w:color="auto"/>
            <w:bottom w:val="none" w:sz="0" w:space="0" w:color="auto"/>
            <w:right w:val="none" w:sz="0" w:space="0" w:color="auto"/>
          </w:divBdr>
          <w:divsChild>
            <w:div w:id="1546134975">
              <w:marLeft w:val="0"/>
              <w:marRight w:val="0"/>
              <w:marTop w:val="0"/>
              <w:marBottom w:val="0"/>
              <w:divBdr>
                <w:top w:val="none" w:sz="0" w:space="0" w:color="auto"/>
                <w:left w:val="none" w:sz="0" w:space="0" w:color="auto"/>
                <w:bottom w:val="none" w:sz="0" w:space="0" w:color="auto"/>
                <w:right w:val="none" w:sz="0" w:space="0" w:color="auto"/>
              </w:divBdr>
              <w:divsChild>
                <w:div w:id="1329669422">
                  <w:marLeft w:val="0"/>
                  <w:marRight w:val="0"/>
                  <w:marTop w:val="0"/>
                  <w:marBottom w:val="0"/>
                  <w:divBdr>
                    <w:top w:val="none" w:sz="0" w:space="0" w:color="auto"/>
                    <w:left w:val="none" w:sz="0" w:space="0" w:color="auto"/>
                    <w:bottom w:val="none" w:sz="0" w:space="0" w:color="auto"/>
                    <w:right w:val="none" w:sz="0" w:space="0" w:color="auto"/>
                  </w:divBdr>
                  <w:divsChild>
                    <w:div w:id="430661133">
                      <w:marLeft w:val="0"/>
                      <w:marRight w:val="0"/>
                      <w:marTop w:val="0"/>
                      <w:marBottom w:val="0"/>
                      <w:divBdr>
                        <w:top w:val="none" w:sz="0" w:space="0" w:color="auto"/>
                        <w:left w:val="none" w:sz="0" w:space="0" w:color="auto"/>
                        <w:bottom w:val="none" w:sz="0" w:space="0" w:color="auto"/>
                        <w:right w:val="none" w:sz="0" w:space="0" w:color="auto"/>
                      </w:divBdr>
                      <w:divsChild>
                        <w:div w:id="296881734">
                          <w:marLeft w:val="0"/>
                          <w:marRight w:val="0"/>
                          <w:marTop w:val="0"/>
                          <w:marBottom w:val="0"/>
                          <w:divBdr>
                            <w:top w:val="none" w:sz="0" w:space="0" w:color="auto"/>
                            <w:left w:val="none" w:sz="0" w:space="0" w:color="auto"/>
                            <w:bottom w:val="none" w:sz="0" w:space="0" w:color="auto"/>
                            <w:right w:val="none" w:sz="0" w:space="0" w:color="auto"/>
                          </w:divBdr>
                          <w:divsChild>
                            <w:div w:id="739670292">
                              <w:marLeft w:val="0"/>
                              <w:marRight w:val="0"/>
                              <w:marTop w:val="0"/>
                              <w:marBottom w:val="0"/>
                              <w:divBdr>
                                <w:top w:val="none" w:sz="0" w:space="0" w:color="auto"/>
                                <w:left w:val="none" w:sz="0" w:space="0" w:color="auto"/>
                                <w:bottom w:val="none" w:sz="0" w:space="0" w:color="auto"/>
                                <w:right w:val="none" w:sz="0" w:space="0" w:color="auto"/>
                              </w:divBdr>
                              <w:divsChild>
                                <w:div w:id="698553480">
                                  <w:marLeft w:val="0"/>
                                  <w:marRight w:val="0"/>
                                  <w:marTop w:val="0"/>
                                  <w:marBottom w:val="0"/>
                                  <w:divBdr>
                                    <w:top w:val="none" w:sz="0" w:space="0" w:color="auto"/>
                                    <w:left w:val="none" w:sz="0" w:space="0" w:color="auto"/>
                                    <w:bottom w:val="none" w:sz="0" w:space="0" w:color="auto"/>
                                    <w:right w:val="none" w:sz="0" w:space="0" w:color="auto"/>
                                  </w:divBdr>
                                  <w:divsChild>
                                    <w:div w:id="1474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797267">
      <w:bodyDiv w:val="1"/>
      <w:marLeft w:val="0"/>
      <w:marRight w:val="0"/>
      <w:marTop w:val="0"/>
      <w:marBottom w:val="0"/>
      <w:divBdr>
        <w:top w:val="none" w:sz="0" w:space="0" w:color="auto"/>
        <w:left w:val="none" w:sz="0" w:space="0" w:color="auto"/>
        <w:bottom w:val="none" w:sz="0" w:space="0" w:color="auto"/>
        <w:right w:val="none" w:sz="0" w:space="0" w:color="auto"/>
      </w:divBdr>
    </w:div>
    <w:div w:id="321854152">
      <w:bodyDiv w:val="1"/>
      <w:marLeft w:val="0"/>
      <w:marRight w:val="0"/>
      <w:marTop w:val="0"/>
      <w:marBottom w:val="0"/>
      <w:divBdr>
        <w:top w:val="none" w:sz="0" w:space="0" w:color="auto"/>
        <w:left w:val="none" w:sz="0" w:space="0" w:color="auto"/>
        <w:bottom w:val="none" w:sz="0" w:space="0" w:color="auto"/>
        <w:right w:val="none" w:sz="0" w:space="0" w:color="auto"/>
      </w:divBdr>
    </w:div>
    <w:div w:id="346635443">
      <w:bodyDiv w:val="1"/>
      <w:marLeft w:val="0"/>
      <w:marRight w:val="0"/>
      <w:marTop w:val="0"/>
      <w:marBottom w:val="0"/>
      <w:divBdr>
        <w:top w:val="none" w:sz="0" w:space="0" w:color="auto"/>
        <w:left w:val="none" w:sz="0" w:space="0" w:color="auto"/>
        <w:bottom w:val="none" w:sz="0" w:space="0" w:color="auto"/>
        <w:right w:val="none" w:sz="0" w:space="0" w:color="auto"/>
      </w:divBdr>
    </w:div>
    <w:div w:id="355083964">
      <w:bodyDiv w:val="1"/>
      <w:marLeft w:val="0"/>
      <w:marRight w:val="0"/>
      <w:marTop w:val="0"/>
      <w:marBottom w:val="0"/>
      <w:divBdr>
        <w:top w:val="none" w:sz="0" w:space="0" w:color="auto"/>
        <w:left w:val="none" w:sz="0" w:space="0" w:color="auto"/>
        <w:bottom w:val="none" w:sz="0" w:space="0" w:color="auto"/>
        <w:right w:val="none" w:sz="0" w:space="0" w:color="auto"/>
      </w:divBdr>
    </w:div>
    <w:div w:id="371075952">
      <w:bodyDiv w:val="1"/>
      <w:marLeft w:val="0"/>
      <w:marRight w:val="0"/>
      <w:marTop w:val="0"/>
      <w:marBottom w:val="0"/>
      <w:divBdr>
        <w:top w:val="none" w:sz="0" w:space="0" w:color="auto"/>
        <w:left w:val="none" w:sz="0" w:space="0" w:color="auto"/>
        <w:bottom w:val="none" w:sz="0" w:space="0" w:color="auto"/>
        <w:right w:val="none" w:sz="0" w:space="0" w:color="auto"/>
      </w:divBdr>
    </w:div>
    <w:div w:id="372735242">
      <w:bodyDiv w:val="1"/>
      <w:marLeft w:val="0"/>
      <w:marRight w:val="0"/>
      <w:marTop w:val="0"/>
      <w:marBottom w:val="0"/>
      <w:divBdr>
        <w:top w:val="none" w:sz="0" w:space="0" w:color="auto"/>
        <w:left w:val="none" w:sz="0" w:space="0" w:color="auto"/>
        <w:bottom w:val="none" w:sz="0" w:space="0" w:color="auto"/>
        <w:right w:val="none" w:sz="0" w:space="0" w:color="auto"/>
      </w:divBdr>
      <w:divsChild>
        <w:div w:id="874732698">
          <w:marLeft w:val="0"/>
          <w:marRight w:val="0"/>
          <w:marTop w:val="0"/>
          <w:marBottom w:val="0"/>
          <w:divBdr>
            <w:top w:val="none" w:sz="0" w:space="0" w:color="auto"/>
            <w:left w:val="none" w:sz="0" w:space="0" w:color="auto"/>
            <w:bottom w:val="none" w:sz="0" w:space="0" w:color="auto"/>
            <w:right w:val="none" w:sz="0" w:space="0" w:color="auto"/>
          </w:divBdr>
          <w:divsChild>
            <w:div w:id="1373503606">
              <w:marLeft w:val="0"/>
              <w:marRight w:val="0"/>
              <w:marTop w:val="0"/>
              <w:marBottom w:val="0"/>
              <w:divBdr>
                <w:top w:val="none" w:sz="0" w:space="0" w:color="auto"/>
                <w:left w:val="none" w:sz="0" w:space="0" w:color="auto"/>
                <w:bottom w:val="none" w:sz="0" w:space="0" w:color="auto"/>
                <w:right w:val="none" w:sz="0" w:space="0" w:color="auto"/>
              </w:divBdr>
              <w:divsChild>
                <w:div w:id="1854487798">
                  <w:marLeft w:val="0"/>
                  <w:marRight w:val="0"/>
                  <w:marTop w:val="0"/>
                  <w:marBottom w:val="0"/>
                  <w:divBdr>
                    <w:top w:val="none" w:sz="0" w:space="0" w:color="auto"/>
                    <w:left w:val="none" w:sz="0" w:space="0" w:color="auto"/>
                    <w:bottom w:val="none" w:sz="0" w:space="0" w:color="auto"/>
                    <w:right w:val="none" w:sz="0" w:space="0" w:color="auto"/>
                  </w:divBdr>
                  <w:divsChild>
                    <w:div w:id="3738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78871">
      <w:bodyDiv w:val="1"/>
      <w:marLeft w:val="0"/>
      <w:marRight w:val="0"/>
      <w:marTop w:val="0"/>
      <w:marBottom w:val="0"/>
      <w:divBdr>
        <w:top w:val="none" w:sz="0" w:space="0" w:color="auto"/>
        <w:left w:val="none" w:sz="0" w:space="0" w:color="auto"/>
        <w:bottom w:val="none" w:sz="0" w:space="0" w:color="auto"/>
        <w:right w:val="none" w:sz="0" w:space="0" w:color="auto"/>
      </w:divBdr>
      <w:divsChild>
        <w:div w:id="2136632545">
          <w:marLeft w:val="0"/>
          <w:marRight w:val="0"/>
          <w:marTop w:val="0"/>
          <w:marBottom w:val="0"/>
          <w:divBdr>
            <w:top w:val="none" w:sz="0" w:space="0" w:color="auto"/>
            <w:left w:val="none" w:sz="0" w:space="0" w:color="auto"/>
            <w:bottom w:val="none" w:sz="0" w:space="0" w:color="auto"/>
            <w:right w:val="none" w:sz="0" w:space="0" w:color="auto"/>
          </w:divBdr>
          <w:divsChild>
            <w:div w:id="620310084">
              <w:marLeft w:val="0"/>
              <w:marRight w:val="0"/>
              <w:marTop w:val="0"/>
              <w:marBottom w:val="0"/>
              <w:divBdr>
                <w:top w:val="none" w:sz="0" w:space="0" w:color="auto"/>
                <w:left w:val="none" w:sz="0" w:space="0" w:color="auto"/>
                <w:bottom w:val="none" w:sz="0" w:space="0" w:color="auto"/>
                <w:right w:val="none" w:sz="0" w:space="0" w:color="auto"/>
              </w:divBdr>
              <w:divsChild>
                <w:div w:id="1521117949">
                  <w:marLeft w:val="0"/>
                  <w:marRight w:val="0"/>
                  <w:marTop w:val="0"/>
                  <w:marBottom w:val="0"/>
                  <w:divBdr>
                    <w:top w:val="none" w:sz="0" w:space="0" w:color="auto"/>
                    <w:left w:val="none" w:sz="0" w:space="0" w:color="auto"/>
                    <w:bottom w:val="none" w:sz="0" w:space="0" w:color="auto"/>
                    <w:right w:val="none" w:sz="0" w:space="0" w:color="auto"/>
                  </w:divBdr>
                  <w:divsChild>
                    <w:div w:id="1991328014">
                      <w:marLeft w:val="0"/>
                      <w:marRight w:val="0"/>
                      <w:marTop w:val="0"/>
                      <w:marBottom w:val="0"/>
                      <w:divBdr>
                        <w:top w:val="none" w:sz="0" w:space="0" w:color="auto"/>
                        <w:left w:val="none" w:sz="0" w:space="0" w:color="auto"/>
                        <w:bottom w:val="none" w:sz="0" w:space="0" w:color="auto"/>
                        <w:right w:val="none" w:sz="0" w:space="0" w:color="auto"/>
                      </w:divBdr>
                      <w:divsChild>
                        <w:div w:id="50271205">
                          <w:marLeft w:val="0"/>
                          <w:marRight w:val="0"/>
                          <w:marTop w:val="0"/>
                          <w:marBottom w:val="0"/>
                          <w:divBdr>
                            <w:top w:val="none" w:sz="0" w:space="0" w:color="auto"/>
                            <w:left w:val="none" w:sz="0" w:space="0" w:color="auto"/>
                            <w:bottom w:val="none" w:sz="0" w:space="0" w:color="auto"/>
                            <w:right w:val="none" w:sz="0" w:space="0" w:color="auto"/>
                          </w:divBdr>
                          <w:divsChild>
                            <w:div w:id="998340453">
                              <w:marLeft w:val="0"/>
                              <w:marRight w:val="0"/>
                              <w:marTop w:val="0"/>
                              <w:marBottom w:val="0"/>
                              <w:divBdr>
                                <w:top w:val="none" w:sz="0" w:space="0" w:color="auto"/>
                                <w:left w:val="none" w:sz="0" w:space="0" w:color="auto"/>
                                <w:bottom w:val="none" w:sz="0" w:space="0" w:color="auto"/>
                                <w:right w:val="none" w:sz="0" w:space="0" w:color="auto"/>
                              </w:divBdr>
                              <w:divsChild>
                                <w:div w:id="1816607396">
                                  <w:marLeft w:val="0"/>
                                  <w:marRight w:val="0"/>
                                  <w:marTop w:val="0"/>
                                  <w:marBottom w:val="0"/>
                                  <w:divBdr>
                                    <w:top w:val="none" w:sz="0" w:space="0" w:color="auto"/>
                                    <w:left w:val="none" w:sz="0" w:space="0" w:color="auto"/>
                                    <w:bottom w:val="none" w:sz="0" w:space="0" w:color="auto"/>
                                    <w:right w:val="none" w:sz="0" w:space="0" w:color="auto"/>
                                  </w:divBdr>
                                  <w:divsChild>
                                    <w:div w:id="8167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7069">
                          <w:marLeft w:val="0"/>
                          <w:marRight w:val="0"/>
                          <w:marTop w:val="0"/>
                          <w:marBottom w:val="0"/>
                          <w:divBdr>
                            <w:top w:val="none" w:sz="0" w:space="0" w:color="auto"/>
                            <w:left w:val="none" w:sz="0" w:space="0" w:color="auto"/>
                            <w:bottom w:val="none" w:sz="0" w:space="0" w:color="auto"/>
                            <w:right w:val="none" w:sz="0" w:space="0" w:color="auto"/>
                          </w:divBdr>
                          <w:divsChild>
                            <w:div w:id="391387584">
                              <w:marLeft w:val="0"/>
                              <w:marRight w:val="0"/>
                              <w:marTop w:val="0"/>
                              <w:marBottom w:val="0"/>
                              <w:divBdr>
                                <w:top w:val="none" w:sz="0" w:space="0" w:color="auto"/>
                                <w:left w:val="none" w:sz="0" w:space="0" w:color="auto"/>
                                <w:bottom w:val="none" w:sz="0" w:space="0" w:color="auto"/>
                                <w:right w:val="none" w:sz="0" w:space="0" w:color="auto"/>
                              </w:divBdr>
                              <w:divsChild>
                                <w:div w:id="10788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400481">
      <w:bodyDiv w:val="1"/>
      <w:marLeft w:val="0"/>
      <w:marRight w:val="0"/>
      <w:marTop w:val="0"/>
      <w:marBottom w:val="0"/>
      <w:divBdr>
        <w:top w:val="none" w:sz="0" w:space="0" w:color="auto"/>
        <w:left w:val="none" w:sz="0" w:space="0" w:color="auto"/>
        <w:bottom w:val="none" w:sz="0" w:space="0" w:color="auto"/>
        <w:right w:val="none" w:sz="0" w:space="0" w:color="auto"/>
      </w:divBdr>
      <w:divsChild>
        <w:div w:id="1064332126">
          <w:marLeft w:val="0"/>
          <w:marRight w:val="0"/>
          <w:marTop w:val="0"/>
          <w:marBottom w:val="0"/>
          <w:divBdr>
            <w:top w:val="none" w:sz="0" w:space="0" w:color="auto"/>
            <w:left w:val="none" w:sz="0" w:space="0" w:color="auto"/>
            <w:bottom w:val="none" w:sz="0" w:space="0" w:color="auto"/>
            <w:right w:val="none" w:sz="0" w:space="0" w:color="auto"/>
          </w:divBdr>
          <w:divsChild>
            <w:div w:id="847601045">
              <w:marLeft w:val="0"/>
              <w:marRight w:val="0"/>
              <w:marTop w:val="0"/>
              <w:marBottom w:val="0"/>
              <w:divBdr>
                <w:top w:val="none" w:sz="0" w:space="0" w:color="auto"/>
                <w:left w:val="none" w:sz="0" w:space="0" w:color="auto"/>
                <w:bottom w:val="none" w:sz="0" w:space="0" w:color="auto"/>
                <w:right w:val="none" w:sz="0" w:space="0" w:color="auto"/>
              </w:divBdr>
              <w:divsChild>
                <w:div w:id="846024244">
                  <w:marLeft w:val="0"/>
                  <w:marRight w:val="0"/>
                  <w:marTop w:val="0"/>
                  <w:marBottom w:val="0"/>
                  <w:divBdr>
                    <w:top w:val="none" w:sz="0" w:space="0" w:color="auto"/>
                    <w:left w:val="none" w:sz="0" w:space="0" w:color="auto"/>
                    <w:bottom w:val="none" w:sz="0" w:space="0" w:color="auto"/>
                    <w:right w:val="none" w:sz="0" w:space="0" w:color="auto"/>
                  </w:divBdr>
                  <w:divsChild>
                    <w:div w:id="462121315">
                      <w:marLeft w:val="0"/>
                      <w:marRight w:val="0"/>
                      <w:marTop w:val="0"/>
                      <w:marBottom w:val="0"/>
                      <w:divBdr>
                        <w:top w:val="none" w:sz="0" w:space="0" w:color="auto"/>
                        <w:left w:val="none" w:sz="0" w:space="0" w:color="auto"/>
                        <w:bottom w:val="none" w:sz="0" w:space="0" w:color="auto"/>
                        <w:right w:val="none" w:sz="0" w:space="0" w:color="auto"/>
                      </w:divBdr>
                      <w:divsChild>
                        <w:div w:id="272398682">
                          <w:marLeft w:val="0"/>
                          <w:marRight w:val="0"/>
                          <w:marTop w:val="0"/>
                          <w:marBottom w:val="0"/>
                          <w:divBdr>
                            <w:top w:val="none" w:sz="0" w:space="0" w:color="auto"/>
                            <w:left w:val="none" w:sz="0" w:space="0" w:color="auto"/>
                            <w:bottom w:val="none" w:sz="0" w:space="0" w:color="auto"/>
                            <w:right w:val="none" w:sz="0" w:space="0" w:color="auto"/>
                          </w:divBdr>
                          <w:divsChild>
                            <w:div w:id="1919053362">
                              <w:marLeft w:val="0"/>
                              <w:marRight w:val="0"/>
                              <w:marTop w:val="0"/>
                              <w:marBottom w:val="0"/>
                              <w:divBdr>
                                <w:top w:val="none" w:sz="0" w:space="0" w:color="auto"/>
                                <w:left w:val="none" w:sz="0" w:space="0" w:color="auto"/>
                                <w:bottom w:val="none" w:sz="0" w:space="0" w:color="auto"/>
                                <w:right w:val="none" w:sz="0" w:space="0" w:color="auto"/>
                              </w:divBdr>
                              <w:divsChild>
                                <w:div w:id="240680892">
                                  <w:marLeft w:val="0"/>
                                  <w:marRight w:val="0"/>
                                  <w:marTop w:val="0"/>
                                  <w:marBottom w:val="0"/>
                                  <w:divBdr>
                                    <w:top w:val="none" w:sz="0" w:space="0" w:color="auto"/>
                                    <w:left w:val="none" w:sz="0" w:space="0" w:color="auto"/>
                                    <w:bottom w:val="none" w:sz="0" w:space="0" w:color="auto"/>
                                    <w:right w:val="none" w:sz="0" w:space="0" w:color="auto"/>
                                  </w:divBdr>
                                  <w:divsChild>
                                    <w:div w:id="8234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032014">
      <w:bodyDiv w:val="1"/>
      <w:marLeft w:val="0"/>
      <w:marRight w:val="0"/>
      <w:marTop w:val="0"/>
      <w:marBottom w:val="0"/>
      <w:divBdr>
        <w:top w:val="none" w:sz="0" w:space="0" w:color="auto"/>
        <w:left w:val="none" w:sz="0" w:space="0" w:color="auto"/>
        <w:bottom w:val="none" w:sz="0" w:space="0" w:color="auto"/>
        <w:right w:val="none" w:sz="0" w:space="0" w:color="auto"/>
      </w:divBdr>
      <w:divsChild>
        <w:div w:id="1255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107397">
      <w:bodyDiv w:val="1"/>
      <w:marLeft w:val="0"/>
      <w:marRight w:val="0"/>
      <w:marTop w:val="0"/>
      <w:marBottom w:val="0"/>
      <w:divBdr>
        <w:top w:val="none" w:sz="0" w:space="0" w:color="auto"/>
        <w:left w:val="none" w:sz="0" w:space="0" w:color="auto"/>
        <w:bottom w:val="none" w:sz="0" w:space="0" w:color="auto"/>
        <w:right w:val="none" w:sz="0" w:space="0" w:color="auto"/>
      </w:divBdr>
    </w:div>
    <w:div w:id="476068218">
      <w:bodyDiv w:val="1"/>
      <w:marLeft w:val="0"/>
      <w:marRight w:val="0"/>
      <w:marTop w:val="0"/>
      <w:marBottom w:val="0"/>
      <w:divBdr>
        <w:top w:val="none" w:sz="0" w:space="0" w:color="auto"/>
        <w:left w:val="none" w:sz="0" w:space="0" w:color="auto"/>
        <w:bottom w:val="none" w:sz="0" w:space="0" w:color="auto"/>
        <w:right w:val="none" w:sz="0" w:space="0" w:color="auto"/>
      </w:divBdr>
      <w:divsChild>
        <w:div w:id="2065791132">
          <w:marLeft w:val="0"/>
          <w:marRight w:val="0"/>
          <w:marTop w:val="0"/>
          <w:marBottom w:val="0"/>
          <w:divBdr>
            <w:top w:val="none" w:sz="0" w:space="0" w:color="auto"/>
            <w:left w:val="none" w:sz="0" w:space="0" w:color="auto"/>
            <w:bottom w:val="none" w:sz="0" w:space="0" w:color="auto"/>
            <w:right w:val="none" w:sz="0" w:space="0" w:color="auto"/>
          </w:divBdr>
          <w:divsChild>
            <w:div w:id="597492366">
              <w:marLeft w:val="0"/>
              <w:marRight w:val="0"/>
              <w:marTop w:val="0"/>
              <w:marBottom w:val="0"/>
              <w:divBdr>
                <w:top w:val="none" w:sz="0" w:space="0" w:color="auto"/>
                <w:left w:val="none" w:sz="0" w:space="0" w:color="auto"/>
                <w:bottom w:val="none" w:sz="0" w:space="0" w:color="auto"/>
                <w:right w:val="none" w:sz="0" w:space="0" w:color="auto"/>
              </w:divBdr>
              <w:divsChild>
                <w:div w:id="555439117">
                  <w:marLeft w:val="0"/>
                  <w:marRight w:val="0"/>
                  <w:marTop w:val="0"/>
                  <w:marBottom w:val="0"/>
                  <w:divBdr>
                    <w:top w:val="none" w:sz="0" w:space="0" w:color="auto"/>
                    <w:left w:val="none" w:sz="0" w:space="0" w:color="auto"/>
                    <w:bottom w:val="none" w:sz="0" w:space="0" w:color="auto"/>
                    <w:right w:val="none" w:sz="0" w:space="0" w:color="auto"/>
                  </w:divBdr>
                  <w:divsChild>
                    <w:div w:id="1449352569">
                      <w:marLeft w:val="0"/>
                      <w:marRight w:val="0"/>
                      <w:marTop w:val="0"/>
                      <w:marBottom w:val="0"/>
                      <w:divBdr>
                        <w:top w:val="none" w:sz="0" w:space="0" w:color="auto"/>
                        <w:left w:val="none" w:sz="0" w:space="0" w:color="auto"/>
                        <w:bottom w:val="none" w:sz="0" w:space="0" w:color="auto"/>
                        <w:right w:val="none" w:sz="0" w:space="0" w:color="auto"/>
                      </w:divBdr>
                      <w:divsChild>
                        <w:div w:id="809205008">
                          <w:marLeft w:val="0"/>
                          <w:marRight w:val="0"/>
                          <w:marTop w:val="0"/>
                          <w:marBottom w:val="0"/>
                          <w:divBdr>
                            <w:top w:val="none" w:sz="0" w:space="0" w:color="auto"/>
                            <w:left w:val="none" w:sz="0" w:space="0" w:color="auto"/>
                            <w:bottom w:val="none" w:sz="0" w:space="0" w:color="auto"/>
                            <w:right w:val="none" w:sz="0" w:space="0" w:color="auto"/>
                          </w:divBdr>
                          <w:divsChild>
                            <w:div w:id="712971196">
                              <w:marLeft w:val="0"/>
                              <w:marRight w:val="0"/>
                              <w:marTop w:val="0"/>
                              <w:marBottom w:val="0"/>
                              <w:divBdr>
                                <w:top w:val="none" w:sz="0" w:space="0" w:color="auto"/>
                                <w:left w:val="none" w:sz="0" w:space="0" w:color="auto"/>
                                <w:bottom w:val="none" w:sz="0" w:space="0" w:color="auto"/>
                                <w:right w:val="none" w:sz="0" w:space="0" w:color="auto"/>
                              </w:divBdr>
                              <w:divsChild>
                                <w:div w:id="2115319900">
                                  <w:marLeft w:val="0"/>
                                  <w:marRight w:val="0"/>
                                  <w:marTop w:val="0"/>
                                  <w:marBottom w:val="0"/>
                                  <w:divBdr>
                                    <w:top w:val="none" w:sz="0" w:space="0" w:color="auto"/>
                                    <w:left w:val="none" w:sz="0" w:space="0" w:color="auto"/>
                                    <w:bottom w:val="none" w:sz="0" w:space="0" w:color="auto"/>
                                    <w:right w:val="none" w:sz="0" w:space="0" w:color="auto"/>
                                  </w:divBdr>
                                  <w:divsChild>
                                    <w:div w:id="11164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2940">
                          <w:marLeft w:val="0"/>
                          <w:marRight w:val="0"/>
                          <w:marTop w:val="0"/>
                          <w:marBottom w:val="0"/>
                          <w:divBdr>
                            <w:top w:val="none" w:sz="0" w:space="0" w:color="auto"/>
                            <w:left w:val="none" w:sz="0" w:space="0" w:color="auto"/>
                            <w:bottom w:val="none" w:sz="0" w:space="0" w:color="auto"/>
                            <w:right w:val="none" w:sz="0" w:space="0" w:color="auto"/>
                          </w:divBdr>
                          <w:divsChild>
                            <w:div w:id="250621121">
                              <w:marLeft w:val="0"/>
                              <w:marRight w:val="0"/>
                              <w:marTop w:val="0"/>
                              <w:marBottom w:val="0"/>
                              <w:divBdr>
                                <w:top w:val="none" w:sz="0" w:space="0" w:color="auto"/>
                                <w:left w:val="none" w:sz="0" w:space="0" w:color="auto"/>
                                <w:bottom w:val="none" w:sz="0" w:space="0" w:color="auto"/>
                                <w:right w:val="none" w:sz="0" w:space="0" w:color="auto"/>
                              </w:divBdr>
                              <w:divsChild>
                                <w:div w:id="1031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35853">
      <w:bodyDiv w:val="1"/>
      <w:marLeft w:val="0"/>
      <w:marRight w:val="0"/>
      <w:marTop w:val="0"/>
      <w:marBottom w:val="0"/>
      <w:divBdr>
        <w:top w:val="none" w:sz="0" w:space="0" w:color="auto"/>
        <w:left w:val="none" w:sz="0" w:space="0" w:color="auto"/>
        <w:bottom w:val="none" w:sz="0" w:space="0" w:color="auto"/>
        <w:right w:val="none" w:sz="0" w:space="0" w:color="auto"/>
      </w:divBdr>
    </w:div>
    <w:div w:id="513495783">
      <w:bodyDiv w:val="1"/>
      <w:marLeft w:val="0"/>
      <w:marRight w:val="0"/>
      <w:marTop w:val="0"/>
      <w:marBottom w:val="0"/>
      <w:divBdr>
        <w:top w:val="none" w:sz="0" w:space="0" w:color="auto"/>
        <w:left w:val="none" w:sz="0" w:space="0" w:color="auto"/>
        <w:bottom w:val="none" w:sz="0" w:space="0" w:color="auto"/>
        <w:right w:val="none" w:sz="0" w:space="0" w:color="auto"/>
      </w:divBdr>
    </w:div>
    <w:div w:id="514343551">
      <w:bodyDiv w:val="1"/>
      <w:marLeft w:val="0"/>
      <w:marRight w:val="0"/>
      <w:marTop w:val="0"/>
      <w:marBottom w:val="0"/>
      <w:divBdr>
        <w:top w:val="none" w:sz="0" w:space="0" w:color="auto"/>
        <w:left w:val="none" w:sz="0" w:space="0" w:color="auto"/>
        <w:bottom w:val="none" w:sz="0" w:space="0" w:color="auto"/>
        <w:right w:val="none" w:sz="0" w:space="0" w:color="auto"/>
      </w:divBdr>
    </w:div>
    <w:div w:id="541746520">
      <w:bodyDiv w:val="1"/>
      <w:marLeft w:val="0"/>
      <w:marRight w:val="0"/>
      <w:marTop w:val="0"/>
      <w:marBottom w:val="0"/>
      <w:divBdr>
        <w:top w:val="none" w:sz="0" w:space="0" w:color="auto"/>
        <w:left w:val="none" w:sz="0" w:space="0" w:color="auto"/>
        <w:bottom w:val="none" w:sz="0" w:space="0" w:color="auto"/>
        <w:right w:val="none" w:sz="0" w:space="0" w:color="auto"/>
      </w:divBdr>
    </w:div>
    <w:div w:id="558437458">
      <w:bodyDiv w:val="1"/>
      <w:marLeft w:val="0"/>
      <w:marRight w:val="0"/>
      <w:marTop w:val="0"/>
      <w:marBottom w:val="0"/>
      <w:divBdr>
        <w:top w:val="none" w:sz="0" w:space="0" w:color="auto"/>
        <w:left w:val="none" w:sz="0" w:space="0" w:color="auto"/>
        <w:bottom w:val="none" w:sz="0" w:space="0" w:color="auto"/>
        <w:right w:val="none" w:sz="0" w:space="0" w:color="auto"/>
      </w:divBdr>
    </w:div>
    <w:div w:id="573664342">
      <w:bodyDiv w:val="1"/>
      <w:marLeft w:val="0"/>
      <w:marRight w:val="0"/>
      <w:marTop w:val="0"/>
      <w:marBottom w:val="0"/>
      <w:divBdr>
        <w:top w:val="none" w:sz="0" w:space="0" w:color="auto"/>
        <w:left w:val="none" w:sz="0" w:space="0" w:color="auto"/>
        <w:bottom w:val="none" w:sz="0" w:space="0" w:color="auto"/>
        <w:right w:val="none" w:sz="0" w:space="0" w:color="auto"/>
      </w:divBdr>
      <w:divsChild>
        <w:div w:id="2041127632">
          <w:marLeft w:val="0"/>
          <w:marRight w:val="0"/>
          <w:marTop w:val="0"/>
          <w:marBottom w:val="0"/>
          <w:divBdr>
            <w:top w:val="none" w:sz="0" w:space="0" w:color="auto"/>
            <w:left w:val="none" w:sz="0" w:space="0" w:color="auto"/>
            <w:bottom w:val="none" w:sz="0" w:space="0" w:color="auto"/>
            <w:right w:val="none" w:sz="0" w:space="0" w:color="auto"/>
          </w:divBdr>
          <w:divsChild>
            <w:div w:id="636956902">
              <w:marLeft w:val="0"/>
              <w:marRight w:val="0"/>
              <w:marTop w:val="0"/>
              <w:marBottom w:val="0"/>
              <w:divBdr>
                <w:top w:val="none" w:sz="0" w:space="0" w:color="auto"/>
                <w:left w:val="none" w:sz="0" w:space="0" w:color="auto"/>
                <w:bottom w:val="none" w:sz="0" w:space="0" w:color="auto"/>
                <w:right w:val="none" w:sz="0" w:space="0" w:color="auto"/>
              </w:divBdr>
              <w:divsChild>
                <w:div w:id="330639857">
                  <w:marLeft w:val="0"/>
                  <w:marRight w:val="0"/>
                  <w:marTop w:val="0"/>
                  <w:marBottom w:val="0"/>
                  <w:divBdr>
                    <w:top w:val="none" w:sz="0" w:space="0" w:color="auto"/>
                    <w:left w:val="none" w:sz="0" w:space="0" w:color="auto"/>
                    <w:bottom w:val="none" w:sz="0" w:space="0" w:color="auto"/>
                    <w:right w:val="none" w:sz="0" w:space="0" w:color="auto"/>
                  </w:divBdr>
                  <w:divsChild>
                    <w:div w:id="10754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040">
      <w:bodyDiv w:val="1"/>
      <w:marLeft w:val="0"/>
      <w:marRight w:val="0"/>
      <w:marTop w:val="0"/>
      <w:marBottom w:val="0"/>
      <w:divBdr>
        <w:top w:val="none" w:sz="0" w:space="0" w:color="auto"/>
        <w:left w:val="none" w:sz="0" w:space="0" w:color="auto"/>
        <w:bottom w:val="none" w:sz="0" w:space="0" w:color="auto"/>
        <w:right w:val="none" w:sz="0" w:space="0" w:color="auto"/>
      </w:divBdr>
      <w:divsChild>
        <w:div w:id="1118724180">
          <w:marLeft w:val="0"/>
          <w:marRight w:val="0"/>
          <w:marTop w:val="0"/>
          <w:marBottom w:val="0"/>
          <w:divBdr>
            <w:top w:val="none" w:sz="0" w:space="0" w:color="auto"/>
            <w:left w:val="none" w:sz="0" w:space="0" w:color="auto"/>
            <w:bottom w:val="none" w:sz="0" w:space="0" w:color="auto"/>
            <w:right w:val="none" w:sz="0" w:space="0" w:color="auto"/>
          </w:divBdr>
          <w:divsChild>
            <w:div w:id="1307857030">
              <w:marLeft w:val="0"/>
              <w:marRight w:val="0"/>
              <w:marTop w:val="0"/>
              <w:marBottom w:val="0"/>
              <w:divBdr>
                <w:top w:val="none" w:sz="0" w:space="0" w:color="auto"/>
                <w:left w:val="none" w:sz="0" w:space="0" w:color="auto"/>
                <w:bottom w:val="none" w:sz="0" w:space="0" w:color="auto"/>
                <w:right w:val="none" w:sz="0" w:space="0" w:color="auto"/>
              </w:divBdr>
              <w:divsChild>
                <w:div w:id="1761367889">
                  <w:marLeft w:val="0"/>
                  <w:marRight w:val="0"/>
                  <w:marTop w:val="0"/>
                  <w:marBottom w:val="0"/>
                  <w:divBdr>
                    <w:top w:val="none" w:sz="0" w:space="0" w:color="auto"/>
                    <w:left w:val="none" w:sz="0" w:space="0" w:color="auto"/>
                    <w:bottom w:val="none" w:sz="0" w:space="0" w:color="auto"/>
                    <w:right w:val="none" w:sz="0" w:space="0" w:color="auto"/>
                  </w:divBdr>
                  <w:divsChild>
                    <w:div w:id="418983091">
                      <w:marLeft w:val="0"/>
                      <w:marRight w:val="0"/>
                      <w:marTop w:val="0"/>
                      <w:marBottom w:val="0"/>
                      <w:divBdr>
                        <w:top w:val="none" w:sz="0" w:space="0" w:color="auto"/>
                        <w:left w:val="none" w:sz="0" w:space="0" w:color="auto"/>
                        <w:bottom w:val="none" w:sz="0" w:space="0" w:color="auto"/>
                        <w:right w:val="none" w:sz="0" w:space="0" w:color="auto"/>
                      </w:divBdr>
                      <w:divsChild>
                        <w:div w:id="840655206">
                          <w:marLeft w:val="0"/>
                          <w:marRight w:val="0"/>
                          <w:marTop w:val="0"/>
                          <w:marBottom w:val="0"/>
                          <w:divBdr>
                            <w:top w:val="none" w:sz="0" w:space="0" w:color="auto"/>
                            <w:left w:val="none" w:sz="0" w:space="0" w:color="auto"/>
                            <w:bottom w:val="none" w:sz="0" w:space="0" w:color="auto"/>
                            <w:right w:val="none" w:sz="0" w:space="0" w:color="auto"/>
                          </w:divBdr>
                          <w:divsChild>
                            <w:div w:id="668411628">
                              <w:marLeft w:val="0"/>
                              <w:marRight w:val="0"/>
                              <w:marTop w:val="0"/>
                              <w:marBottom w:val="0"/>
                              <w:divBdr>
                                <w:top w:val="none" w:sz="0" w:space="0" w:color="auto"/>
                                <w:left w:val="none" w:sz="0" w:space="0" w:color="auto"/>
                                <w:bottom w:val="none" w:sz="0" w:space="0" w:color="auto"/>
                                <w:right w:val="none" w:sz="0" w:space="0" w:color="auto"/>
                              </w:divBdr>
                              <w:divsChild>
                                <w:div w:id="297883538">
                                  <w:marLeft w:val="0"/>
                                  <w:marRight w:val="0"/>
                                  <w:marTop w:val="0"/>
                                  <w:marBottom w:val="0"/>
                                  <w:divBdr>
                                    <w:top w:val="none" w:sz="0" w:space="0" w:color="auto"/>
                                    <w:left w:val="none" w:sz="0" w:space="0" w:color="auto"/>
                                    <w:bottom w:val="none" w:sz="0" w:space="0" w:color="auto"/>
                                    <w:right w:val="none" w:sz="0" w:space="0" w:color="auto"/>
                                  </w:divBdr>
                                  <w:divsChild>
                                    <w:div w:id="1793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6723">
      <w:bodyDiv w:val="1"/>
      <w:marLeft w:val="0"/>
      <w:marRight w:val="0"/>
      <w:marTop w:val="0"/>
      <w:marBottom w:val="0"/>
      <w:divBdr>
        <w:top w:val="none" w:sz="0" w:space="0" w:color="auto"/>
        <w:left w:val="none" w:sz="0" w:space="0" w:color="auto"/>
        <w:bottom w:val="none" w:sz="0" w:space="0" w:color="auto"/>
        <w:right w:val="none" w:sz="0" w:space="0" w:color="auto"/>
      </w:divBdr>
    </w:div>
    <w:div w:id="640186154">
      <w:bodyDiv w:val="1"/>
      <w:marLeft w:val="0"/>
      <w:marRight w:val="0"/>
      <w:marTop w:val="0"/>
      <w:marBottom w:val="0"/>
      <w:divBdr>
        <w:top w:val="none" w:sz="0" w:space="0" w:color="auto"/>
        <w:left w:val="none" w:sz="0" w:space="0" w:color="auto"/>
        <w:bottom w:val="none" w:sz="0" w:space="0" w:color="auto"/>
        <w:right w:val="none" w:sz="0" w:space="0" w:color="auto"/>
      </w:divBdr>
    </w:div>
    <w:div w:id="648629199">
      <w:bodyDiv w:val="1"/>
      <w:marLeft w:val="0"/>
      <w:marRight w:val="0"/>
      <w:marTop w:val="0"/>
      <w:marBottom w:val="0"/>
      <w:divBdr>
        <w:top w:val="none" w:sz="0" w:space="0" w:color="auto"/>
        <w:left w:val="none" w:sz="0" w:space="0" w:color="auto"/>
        <w:bottom w:val="none" w:sz="0" w:space="0" w:color="auto"/>
        <w:right w:val="none" w:sz="0" w:space="0" w:color="auto"/>
      </w:divBdr>
      <w:divsChild>
        <w:div w:id="113995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001527">
      <w:bodyDiv w:val="1"/>
      <w:marLeft w:val="0"/>
      <w:marRight w:val="0"/>
      <w:marTop w:val="0"/>
      <w:marBottom w:val="0"/>
      <w:divBdr>
        <w:top w:val="none" w:sz="0" w:space="0" w:color="auto"/>
        <w:left w:val="none" w:sz="0" w:space="0" w:color="auto"/>
        <w:bottom w:val="none" w:sz="0" w:space="0" w:color="auto"/>
        <w:right w:val="none" w:sz="0" w:space="0" w:color="auto"/>
      </w:divBdr>
      <w:divsChild>
        <w:div w:id="68729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201692">
      <w:bodyDiv w:val="1"/>
      <w:marLeft w:val="0"/>
      <w:marRight w:val="0"/>
      <w:marTop w:val="0"/>
      <w:marBottom w:val="0"/>
      <w:divBdr>
        <w:top w:val="none" w:sz="0" w:space="0" w:color="auto"/>
        <w:left w:val="none" w:sz="0" w:space="0" w:color="auto"/>
        <w:bottom w:val="none" w:sz="0" w:space="0" w:color="auto"/>
        <w:right w:val="none" w:sz="0" w:space="0" w:color="auto"/>
      </w:divBdr>
    </w:div>
    <w:div w:id="698313741">
      <w:bodyDiv w:val="1"/>
      <w:marLeft w:val="0"/>
      <w:marRight w:val="0"/>
      <w:marTop w:val="0"/>
      <w:marBottom w:val="0"/>
      <w:divBdr>
        <w:top w:val="none" w:sz="0" w:space="0" w:color="auto"/>
        <w:left w:val="none" w:sz="0" w:space="0" w:color="auto"/>
        <w:bottom w:val="none" w:sz="0" w:space="0" w:color="auto"/>
        <w:right w:val="none" w:sz="0" w:space="0" w:color="auto"/>
      </w:divBdr>
    </w:div>
    <w:div w:id="719477681">
      <w:bodyDiv w:val="1"/>
      <w:marLeft w:val="0"/>
      <w:marRight w:val="0"/>
      <w:marTop w:val="0"/>
      <w:marBottom w:val="0"/>
      <w:divBdr>
        <w:top w:val="none" w:sz="0" w:space="0" w:color="auto"/>
        <w:left w:val="none" w:sz="0" w:space="0" w:color="auto"/>
        <w:bottom w:val="none" w:sz="0" w:space="0" w:color="auto"/>
        <w:right w:val="none" w:sz="0" w:space="0" w:color="auto"/>
      </w:divBdr>
    </w:div>
    <w:div w:id="725493702">
      <w:bodyDiv w:val="1"/>
      <w:marLeft w:val="0"/>
      <w:marRight w:val="0"/>
      <w:marTop w:val="0"/>
      <w:marBottom w:val="0"/>
      <w:divBdr>
        <w:top w:val="none" w:sz="0" w:space="0" w:color="auto"/>
        <w:left w:val="none" w:sz="0" w:space="0" w:color="auto"/>
        <w:bottom w:val="none" w:sz="0" w:space="0" w:color="auto"/>
        <w:right w:val="none" w:sz="0" w:space="0" w:color="auto"/>
      </w:divBdr>
    </w:div>
    <w:div w:id="737440165">
      <w:bodyDiv w:val="1"/>
      <w:marLeft w:val="0"/>
      <w:marRight w:val="0"/>
      <w:marTop w:val="0"/>
      <w:marBottom w:val="0"/>
      <w:divBdr>
        <w:top w:val="none" w:sz="0" w:space="0" w:color="auto"/>
        <w:left w:val="none" w:sz="0" w:space="0" w:color="auto"/>
        <w:bottom w:val="none" w:sz="0" w:space="0" w:color="auto"/>
        <w:right w:val="none" w:sz="0" w:space="0" w:color="auto"/>
      </w:divBdr>
    </w:div>
    <w:div w:id="762382746">
      <w:bodyDiv w:val="1"/>
      <w:marLeft w:val="0"/>
      <w:marRight w:val="0"/>
      <w:marTop w:val="0"/>
      <w:marBottom w:val="0"/>
      <w:divBdr>
        <w:top w:val="none" w:sz="0" w:space="0" w:color="auto"/>
        <w:left w:val="none" w:sz="0" w:space="0" w:color="auto"/>
        <w:bottom w:val="none" w:sz="0" w:space="0" w:color="auto"/>
        <w:right w:val="none" w:sz="0" w:space="0" w:color="auto"/>
      </w:divBdr>
    </w:div>
    <w:div w:id="771318211">
      <w:bodyDiv w:val="1"/>
      <w:marLeft w:val="0"/>
      <w:marRight w:val="0"/>
      <w:marTop w:val="0"/>
      <w:marBottom w:val="0"/>
      <w:divBdr>
        <w:top w:val="none" w:sz="0" w:space="0" w:color="auto"/>
        <w:left w:val="none" w:sz="0" w:space="0" w:color="auto"/>
        <w:bottom w:val="none" w:sz="0" w:space="0" w:color="auto"/>
        <w:right w:val="none" w:sz="0" w:space="0" w:color="auto"/>
      </w:divBdr>
    </w:div>
    <w:div w:id="778721009">
      <w:bodyDiv w:val="1"/>
      <w:marLeft w:val="0"/>
      <w:marRight w:val="0"/>
      <w:marTop w:val="0"/>
      <w:marBottom w:val="0"/>
      <w:divBdr>
        <w:top w:val="none" w:sz="0" w:space="0" w:color="auto"/>
        <w:left w:val="none" w:sz="0" w:space="0" w:color="auto"/>
        <w:bottom w:val="none" w:sz="0" w:space="0" w:color="auto"/>
        <w:right w:val="none" w:sz="0" w:space="0" w:color="auto"/>
      </w:divBdr>
    </w:div>
    <w:div w:id="791285590">
      <w:bodyDiv w:val="1"/>
      <w:marLeft w:val="0"/>
      <w:marRight w:val="0"/>
      <w:marTop w:val="0"/>
      <w:marBottom w:val="0"/>
      <w:divBdr>
        <w:top w:val="none" w:sz="0" w:space="0" w:color="auto"/>
        <w:left w:val="none" w:sz="0" w:space="0" w:color="auto"/>
        <w:bottom w:val="none" w:sz="0" w:space="0" w:color="auto"/>
        <w:right w:val="none" w:sz="0" w:space="0" w:color="auto"/>
      </w:divBdr>
    </w:div>
    <w:div w:id="827785498">
      <w:bodyDiv w:val="1"/>
      <w:marLeft w:val="0"/>
      <w:marRight w:val="0"/>
      <w:marTop w:val="0"/>
      <w:marBottom w:val="0"/>
      <w:divBdr>
        <w:top w:val="none" w:sz="0" w:space="0" w:color="auto"/>
        <w:left w:val="none" w:sz="0" w:space="0" w:color="auto"/>
        <w:bottom w:val="none" w:sz="0" w:space="0" w:color="auto"/>
        <w:right w:val="none" w:sz="0" w:space="0" w:color="auto"/>
      </w:divBdr>
    </w:div>
    <w:div w:id="927662898">
      <w:bodyDiv w:val="1"/>
      <w:marLeft w:val="0"/>
      <w:marRight w:val="0"/>
      <w:marTop w:val="0"/>
      <w:marBottom w:val="0"/>
      <w:divBdr>
        <w:top w:val="none" w:sz="0" w:space="0" w:color="auto"/>
        <w:left w:val="none" w:sz="0" w:space="0" w:color="auto"/>
        <w:bottom w:val="none" w:sz="0" w:space="0" w:color="auto"/>
        <w:right w:val="none" w:sz="0" w:space="0" w:color="auto"/>
      </w:divBdr>
      <w:divsChild>
        <w:div w:id="1445925407">
          <w:marLeft w:val="0"/>
          <w:marRight w:val="0"/>
          <w:marTop w:val="0"/>
          <w:marBottom w:val="0"/>
          <w:divBdr>
            <w:top w:val="none" w:sz="0" w:space="0" w:color="auto"/>
            <w:left w:val="none" w:sz="0" w:space="0" w:color="auto"/>
            <w:bottom w:val="none" w:sz="0" w:space="0" w:color="auto"/>
            <w:right w:val="none" w:sz="0" w:space="0" w:color="auto"/>
          </w:divBdr>
          <w:divsChild>
            <w:div w:id="966394886">
              <w:marLeft w:val="0"/>
              <w:marRight w:val="0"/>
              <w:marTop w:val="0"/>
              <w:marBottom w:val="0"/>
              <w:divBdr>
                <w:top w:val="none" w:sz="0" w:space="0" w:color="auto"/>
                <w:left w:val="none" w:sz="0" w:space="0" w:color="auto"/>
                <w:bottom w:val="none" w:sz="0" w:space="0" w:color="auto"/>
                <w:right w:val="none" w:sz="0" w:space="0" w:color="auto"/>
              </w:divBdr>
              <w:divsChild>
                <w:div w:id="20970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4298">
      <w:bodyDiv w:val="1"/>
      <w:marLeft w:val="0"/>
      <w:marRight w:val="0"/>
      <w:marTop w:val="0"/>
      <w:marBottom w:val="0"/>
      <w:divBdr>
        <w:top w:val="none" w:sz="0" w:space="0" w:color="auto"/>
        <w:left w:val="none" w:sz="0" w:space="0" w:color="auto"/>
        <w:bottom w:val="none" w:sz="0" w:space="0" w:color="auto"/>
        <w:right w:val="none" w:sz="0" w:space="0" w:color="auto"/>
      </w:divBdr>
    </w:div>
    <w:div w:id="930502522">
      <w:bodyDiv w:val="1"/>
      <w:marLeft w:val="0"/>
      <w:marRight w:val="0"/>
      <w:marTop w:val="0"/>
      <w:marBottom w:val="0"/>
      <w:divBdr>
        <w:top w:val="none" w:sz="0" w:space="0" w:color="auto"/>
        <w:left w:val="none" w:sz="0" w:space="0" w:color="auto"/>
        <w:bottom w:val="none" w:sz="0" w:space="0" w:color="auto"/>
        <w:right w:val="none" w:sz="0" w:space="0" w:color="auto"/>
      </w:divBdr>
    </w:div>
    <w:div w:id="954674471">
      <w:bodyDiv w:val="1"/>
      <w:marLeft w:val="0"/>
      <w:marRight w:val="0"/>
      <w:marTop w:val="0"/>
      <w:marBottom w:val="0"/>
      <w:divBdr>
        <w:top w:val="none" w:sz="0" w:space="0" w:color="auto"/>
        <w:left w:val="none" w:sz="0" w:space="0" w:color="auto"/>
        <w:bottom w:val="none" w:sz="0" w:space="0" w:color="auto"/>
        <w:right w:val="none" w:sz="0" w:space="0" w:color="auto"/>
      </w:divBdr>
    </w:div>
    <w:div w:id="98285575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171749">
      <w:bodyDiv w:val="1"/>
      <w:marLeft w:val="0"/>
      <w:marRight w:val="0"/>
      <w:marTop w:val="0"/>
      <w:marBottom w:val="0"/>
      <w:divBdr>
        <w:top w:val="none" w:sz="0" w:space="0" w:color="auto"/>
        <w:left w:val="none" w:sz="0" w:space="0" w:color="auto"/>
        <w:bottom w:val="none" w:sz="0" w:space="0" w:color="auto"/>
        <w:right w:val="none" w:sz="0" w:space="0" w:color="auto"/>
      </w:divBdr>
    </w:div>
    <w:div w:id="1006588665">
      <w:bodyDiv w:val="1"/>
      <w:marLeft w:val="0"/>
      <w:marRight w:val="0"/>
      <w:marTop w:val="0"/>
      <w:marBottom w:val="0"/>
      <w:divBdr>
        <w:top w:val="none" w:sz="0" w:space="0" w:color="auto"/>
        <w:left w:val="none" w:sz="0" w:space="0" w:color="auto"/>
        <w:bottom w:val="none" w:sz="0" w:space="0" w:color="auto"/>
        <w:right w:val="none" w:sz="0" w:space="0" w:color="auto"/>
      </w:divBdr>
    </w:div>
    <w:div w:id="1009989933">
      <w:bodyDiv w:val="1"/>
      <w:marLeft w:val="0"/>
      <w:marRight w:val="0"/>
      <w:marTop w:val="0"/>
      <w:marBottom w:val="0"/>
      <w:divBdr>
        <w:top w:val="none" w:sz="0" w:space="0" w:color="auto"/>
        <w:left w:val="none" w:sz="0" w:space="0" w:color="auto"/>
        <w:bottom w:val="none" w:sz="0" w:space="0" w:color="auto"/>
        <w:right w:val="none" w:sz="0" w:space="0" w:color="auto"/>
      </w:divBdr>
    </w:div>
    <w:div w:id="1040011273">
      <w:bodyDiv w:val="1"/>
      <w:marLeft w:val="0"/>
      <w:marRight w:val="0"/>
      <w:marTop w:val="0"/>
      <w:marBottom w:val="0"/>
      <w:divBdr>
        <w:top w:val="none" w:sz="0" w:space="0" w:color="auto"/>
        <w:left w:val="none" w:sz="0" w:space="0" w:color="auto"/>
        <w:bottom w:val="none" w:sz="0" w:space="0" w:color="auto"/>
        <w:right w:val="none" w:sz="0" w:space="0" w:color="auto"/>
      </w:divBdr>
    </w:div>
    <w:div w:id="1041857768">
      <w:bodyDiv w:val="1"/>
      <w:marLeft w:val="0"/>
      <w:marRight w:val="0"/>
      <w:marTop w:val="0"/>
      <w:marBottom w:val="0"/>
      <w:divBdr>
        <w:top w:val="none" w:sz="0" w:space="0" w:color="auto"/>
        <w:left w:val="none" w:sz="0" w:space="0" w:color="auto"/>
        <w:bottom w:val="none" w:sz="0" w:space="0" w:color="auto"/>
        <w:right w:val="none" w:sz="0" w:space="0" w:color="auto"/>
      </w:divBdr>
    </w:div>
    <w:div w:id="1043408722">
      <w:bodyDiv w:val="1"/>
      <w:marLeft w:val="0"/>
      <w:marRight w:val="0"/>
      <w:marTop w:val="0"/>
      <w:marBottom w:val="0"/>
      <w:divBdr>
        <w:top w:val="none" w:sz="0" w:space="0" w:color="auto"/>
        <w:left w:val="none" w:sz="0" w:space="0" w:color="auto"/>
        <w:bottom w:val="none" w:sz="0" w:space="0" w:color="auto"/>
        <w:right w:val="none" w:sz="0" w:space="0" w:color="auto"/>
      </w:divBdr>
    </w:div>
    <w:div w:id="1045372206">
      <w:bodyDiv w:val="1"/>
      <w:marLeft w:val="0"/>
      <w:marRight w:val="0"/>
      <w:marTop w:val="0"/>
      <w:marBottom w:val="0"/>
      <w:divBdr>
        <w:top w:val="none" w:sz="0" w:space="0" w:color="auto"/>
        <w:left w:val="none" w:sz="0" w:space="0" w:color="auto"/>
        <w:bottom w:val="none" w:sz="0" w:space="0" w:color="auto"/>
        <w:right w:val="none" w:sz="0" w:space="0" w:color="auto"/>
      </w:divBdr>
    </w:div>
    <w:div w:id="1052802614">
      <w:bodyDiv w:val="1"/>
      <w:marLeft w:val="0"/>
      <w:marRight w:val="0"/>
      <w:marTop w:val="0"/>
      <w:marBottom w:val="0"/>
      <w:divBdr>
        <w:top w:val="none" w:sz="0" w:space="0" w:color="auto"/>
        <w:left w:val="none" w:sz="0" w:space="0" w:color="auto"/>
        <w:bottom w:val="none" w:sz="0" w:space="0" w:color="auto"/>
        <w:right w:val="none" w:sz="0" w:space="0" w:color="auto"/>
      </w:divBdr>
    </w:div>
    <w:div w:id="1053503490">
      <w:bodyDiv w:val="1"/>
      <w:marLeft w:val="0"/>
      <w:marRight w:val="0"/>
      <w:marTop w:val="0"/>
      <w:marBottom w:val="0"/>
      <w:divBdr>
        <w:top w:val="none" w:sz="0" w:space="0" w:color="auto"/>
        <w:left w:val="none" w:sz="0" w:space="0" w:color="auto"/>
        <w:bottom w:val="none" w:sz="0" w:space="0" w:color="auto"/>
        <w:right w:val="none" w:sz="0" w:space="0" w:color="auto"/>
      </w:divBdr>
      <w:divsChild>
        <w:div w:id="1349257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440055">
      <w:bodyDiv w:val="1"/>
      <w:marLeft w:val="0"/>
      <w:marRight w:val="0"/>
      <w:marTop w:val="0"/>
      <w:marBottom w:val="0"/>
      <w:divBdr>
        <w:top w:val="none" w:sz="0" w:space="0" w:color="auto"/>
        <w:left w:val="none" w:sz="0" w:space="0" w:color="auto"/>
        <w:bottom w:val="none" w:sz="0" w:space="0" w:color="auto"/>
        <w:right w:val="none" w:sz="0" w:space="0" w:color="auto"/>
      </w:divBdr>
    </w:div>
    <w:div w:id="1071735214">
      <w:bodyDiv w:val="1"/>
      <w:marLeft w:val="0"/>
      <w:marRight w:val="0"/>
      <w:marTop w:val="0"/>
      <w:marBottom w:val="0"/>
      <w:divBdr>
        <w:top w:val="none" w:sz="0" w:space="0" w:color="auto"/>
        <w:left w:val="none" w:sz="0" w:space="0" w:color="auto"/>
        <w:bottom w:val="none" w:sz="0" w:space="0" w:color="auto"/>
        <w:right w:val="none" w:sz="0" w:space="0" w:color="auto"/>
      </w:divBdr>
    </w:div>
    <w:div w:id="1078286654">
      <w:bodyDiv w:val="1"/>
      <w:marLeft w:val="0"/>
      <w:marRight w:val="0"/>
      <w:marTop w:val="0"/>
      <w:marBottom w:val="0"/>
      <w:divBdr>
        <w:top w:val="none" w:sz="0" w:space="0" w:color="auto"/>
        <w:left w:val="none" w:sz="0" w:space="0" w:color="auto"/>
        <w:bottom w:val="none" w:sz="0" w:space="0" w:color="auto"/>
        <w:right w:val="none" w:sz="0" w:space="0" w:color="auto"/>
      </w:divBdr>
    </w:div>
    <w:div w:id="1079717957">
      <w:bodyDiv w:val="1"/>
      <w:marLeft w:val="0"/>
      <w:marRight w:val="0"/>
      <w:marTop w:val="0"/>
      <w:marBottom w:val="0"/>
      <w:divBdr>
        <w:top w:val="none" w:sz="0" w:space="0" w:color="auto"/>
        <w:left w:val="none" w:sz="0" w:space="0" w:color="auto"/>
        <w:bottom w:val="none" w:sz="0" w:space="0" w:color="auto"/>
        <w:right w:val="none" w:sz="0" w:space="0" w:color="auto"/>
      </w:divBdr>
      <w:divsChild>
        <w:div w:id="2008821648">
          <w:marLeft w:val="0"/>
          <w:marRight w:val="0"/>
          <w:marTop w:val="0"/>
          <w:marBottom w:val="0"/>
          <w:divBdr>
            <w:top w:val="none" w:sz="0" w:space="0" w:color="auto"/>
            <w:left w:val="none" w:sz="0" w:space="0" w:color="auto"/>
            <w:bottom w:val="none" w:sz="0" w:space="0" w:color="auto"/>
            <w:right w:val="none" w:sz="0" w:space="0" w:color="auto"/>
          </w:divBdr>
          <w:divsChild>
            <w:div w:id="650476562">
              <w:marLeft w:val="0"/>
              <w:marRight w:val="0"/>
              <w:marTop w:val="0"/>
              <w:marBottom w:val="0"/>
              <w:divBdr>
                <w:top w:val="none" w:sz="0" w:space="0" w:color="auto"/>
                <w:left w:val="none" w:sz="0" w:space="0" w:color="auto"/>
                <w:bottom w:val="none" w:sz="0" w:space="0" w:color="auto"/>
                <w:right w:val="none" w:sz="0" w:space="0" w:color="auto"/>
              </w:divBdr>
              <w:divsChild>
                <w:div w:id="39668979">
                  <w:marLeft w:val="0"/>
                  <w:marRight w:val="0"/>
                  <w:marTop w:val="0"/>
                  <w:marBottom w:val="0"/>
                  <w:divBdr>
                    <w:top w:val="none" w:sz="0" w:space="0" w:color="auto"/>
                    <w:left w:val="none" w:sz="0" w:space="0" w:color="auto"/>
                    <w:bottom w:val="none" w:sz="0" w:space="0" w:color="auto"/>
                    <w:right w:val="none" w:sz="0" w:space="0" w:color="auto"/>
                  </w:divBdr>
                  <w:divsChild>
                    <w:div w:id="6109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565">
      <w:bodyDiv w:val="1"/>
      <w:marLeft w:val="0"/>
      <w:marRight w:val="0"/>
      <w:marTop w:val="0"/>
      <w:marBottom w:val="0"/>
      <w:divBdr>
        <w:top w:val="none" w:sz="0" w:space="0" w:color="auto"/>
        <w:left w:val="none" w:sz="0" w:space="0" w:color="auto"/>
        <w:bottom w:val="none" w:sz="0" w:space="0" w:color="auto"/>
        <w:right w:val="none" w:sz="0" w:space="0" w:color="auto"/>
      </w:divBdr>
      <w:divsChild>
        <w:div w:id="1912763712">
          <w:marLeft w:val="0"/>
          <w:marRight w:val="0"/>
          <w:marTop w:val="0"/>
          <w:marBottom w:val="0"/>
          <w:divBdr>
            <w:top w:val="none" w:sz="0" w:space="0" w:color="auto"/>
            <w:left w:val="none" w:sz="0" w:space="0" w:color="auto"/>
            <w:bottom w:val="none" w:sz="0" w:space="0" w:color="auto"/>
            <w:right w:val="none" w:sz="0" w:space="0" w:color="auto"/>
          </w:divBdr>
          <w:divsChild>
            <w:div w:id="1117212143">
              <w:marLeft w:val="0"/>
              <w:marRight w:val="0"/>
              <w:marTop w:val="0"/>
              <w:marBottom w:val="0"/>
              <w:divBdr>
                <w:top w:val="none" w:sz="0" w:space="0" w:color="auto"/>
                <w:left w:val="none" w:sz="0" w:space="0" w:color="auto"/>
                <w:bottom w:val="none" w:sz="0" w:space="0" w:color="auto"/>
                <w:right w:val="none" w:sz="0" w:space="0" w:color="auto"/>
              </w:divBdr>
              <w:divsChild>
                <w:div w:id="312178861">
                  <w:marLeft w:val="0"/>
                  <w:marRight w:val="0"/>
                  <w:marTop w:val="0"/>
                  <w:marBottom w:val="0"/>
                  <w:divBdr>
                    <w:top w:val="none" w:sz="0" w:space="0" w:color="auto"/>
                    <w:left w:val="none" w:sz="0" w:space="0" w:color="auto"/>
                    <w:bottom w:val="none" w:sz="0" w:space="0" w:color="auto"/>
                    <w:right w:val="none" w:sz="0" w:space="0" w:color="auto"/>
                  </w:divBdr>
                  <w:divsChild>
                    <w:div w:id="39288684">
                      <w:marLeft w:val="0"/>
                      <w:marRight w:val="0"/>
                      <w:marTop w:val="0"/>
                      <w:marBottom w:val="0"/>
                      <w:divBdr>
                        <w:top w:val="none" w:sz="0" w:space="0" w:color="auto"/>
                        <w:left w:val="none" w:sz="0" w:space="0" w:color="auto"/>
                        <w:bottom w:val="none" w:sz="0" w:space="0" w:color="auto"/>
                        <w:right w:val="none" w:sz="0" w:space="0" w:color="auto"/>
                      </w:divBdr>
                      <w:divsChild>
                        <w:div w:id="1923637572">
                          <w:marLeft w:val="0"/>
                          <w:marRight w:val="0"/>
                          <w:marTop w:val="0"/>
                          <w:marBottom w:val="0"/>
                          <w:divBdr>
                            <w:top w:val="none" w:sz="0" w:space="0" w:color="auto"/>
                            <w:left w:val="none" w:sz="0" w:space="0" w:color="auto"/>
                            <w:bottom w:val="none" w:sz="0" w:space="0" w:color="auto"/>
                            <w:right w:val="none" w:sz="0" w:space="0" w:color="auto"/>
                          </w:divBdr>
                          <w:divsChild>
                            <w:div w:id="156700643">
                              <w:marLeft w:val="0"/>
                              <w:marRight w:val="0"/>
                              <w:marTop w:val="0"/>
                              <w:marBottom w:val="0"/>
                              <w:divBdr>
                                <w:top w:val="none" w:sz="0" w:space="0" w:color="auto"/>
                                <w:left w:val="none" w:sz="0" w:space="0" w:color="auto"/>
                                <w:bottom w:val="none" w:sz="0" w:space="0" w:color="auto"/>
                                <w:right w:val="none" w:sz="0" w:space="0" w:color="auto"/>
                              </w:divBdr>
                              <w:divsChild>
                                <w:div w:id="1039160039">
                                  <w:marLeft w:val="0"/>
                                  <w:marRight w:val="0"/>
                                  <w:marTop w:val="0"/>
                                  <w:marBottom w:val="0"/>
                                  <w:divBdr>
                                    <w:top w:val="none" w:sz="0" w:space="0" w:color="auto"/>
                                    <w:left w:val="none" w:sz="0" w:space="0" w:color="auto"/>
                                    <w:bottom w:val="none" w:sz="0" w:space="0" w:color="auto"/>
                                    <w:right w:val="none" w:sz="0" w:space="0" w:color="auto"/>
                                  </w:divBdr>
                                  <w:divsChild>
                                    <w:div w:id="17136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99223">
      <w:bodyDiv w:val="1"/>
      <w:marLeft w:val="0"/>
      <w:marRight w:val="0"/>
      <w:marTop w:val="0"/>
      <w:marBottom w:val="0"/>
      <w:divBdr>
        <w:top w:val="none" w:sz="0" w:space="0" w:color="auto"/>
        <w:left w:val="none" w:sz="0" w:space="0" w:color="auto"/>
        <w:bottom w:val="none" w:sz="0" w:space="0" w:color="auto"/>
        <w:right w:val="none" w:sz="0" w:space="0" w:color="auto"/>
      </w:divBdr>
    </w:div>
    <w:div w:id="1102070685">
      <w:bodyDiv w:val="1"/>
      <w:marLeft w:val="0"/>
      <w:marRight w:val="0"/>
      <w:marTop w:val="0"/>
      <w:marBottom w:val="0"/>
      <w:divBdr>
        <w:top w:val="none" w:sz="0" w:space="0" w:color="auto"/>
        <w:left w:val="none" w:sz="0" w:space="0" w:color="auto"/>
        <w:bottom w:val="none" w:sz="0" w:space="0" w:color="auto"/>
        <w:right w:val="none" w:sz="0" w:space="0" w:color="auto"/>
      </w:divBdr>
    </w:div>
    <w:div w:id="1102142599">
      <w:bodyDiv w:val="1"/>
      <w:marLeft w:val="0"/>
      <w:marRight w:val="0"/>
      <w:marTop w:val="0"/>
      <w:marBottom w:val="0"/>
      <w:divBdr>
        <w:top w:val="none" w:sz="0" w:space="0" w:color="auto"/>
        <w:left w:val="none" w:sz="0" w:space="0" w:color="auto"/>
        <w:bottom w:val="none" w:sz="0" w:space="0" w:color="auto"/>
        <w:right w:val="none" w:sz="0" w:space="0" w:color="auto"/>
      </w:divBdr>
    </w:div>
    <w:div w:id="1106972141">
      <w:bodyDiv w:val="1"/>
      <w:marLeft w:val="0"/>
      <w:marRight w:val="0"/>
      <w:marTop w:val="0"/>
      <w:marBottom w:val="0"/>
      <w:divBdr>
        <w:top w:val="none" w:sz="0" w:space="0" w:color="auto"/>
        <w:left w:val="none" w:sz="0" w:space="0" w:color="auto"/>
        <w:bottom w:val="none" w:sz="0" w:space="0" w:color="auto"/>
        <w:right w:val="none" w:sz="0" w:space="0" w:color="auto"/>
      </w:divBdr>
    </w:div>
    <w:div w:id="1137919281">
      <w:bodyDiv w:val="1"/>
      <w:marLeft w:val="0"/>
      <w:marRight w:val="0"/>
      <w:marTop w:val="0"/>
      <w:marBottom w:val="0"/>
      <w:divBdr>
        <w:top w:val="none" w:sz="0" w:space="0" w:color="auto"/>
        <w:left w:val="none" w:sz="0" w:space="0" w:color="auto"/>
        <w:bottom w:val="none" w:sz="0" w:space="0" w:color="auto"/>
        <w:right w:val="none" w:sz="0" w:space="0" w:color="auto"/>
      </w:divBdr>
    </w:div>
    <w:div w:id="1181817243">
      <w:bodyDiv w:val="1"/>
      <w:marLeft w:val="0"/>
      <w:marRight w:val="0"/>
      <w:marTop w:val="0"/>
      <w:marBottom w:val="0"/>
      <w:divBdr>
        <w:top w:val="none" w:sz="0" w:space="0" w:color="auto"/>
        <w:left w:val="none" w:sz="0" w:space="0" w:color="auto"/>
        <w:bottom w:val="none" w:sz="0" w:space="0" w:color="auto"/>
        <w:right w:val="none" w:sz="0" w:space="0" w:color="auto"/>
      </w:divBdr>
    </w:div>
    <w:div w:id="1185904313">
      <w:bodyDiv w:val="1"/>
      <w:marLeft w:val="0"/>
      <w:marRight w:val="0"/>
      <w:marTop w:val="0"/>
      <w:marBottom w:val="0"/>
      <w:divBdr>
        <w:top w:val="none" w:sz="0" w:space="0" w:color="auto"/>
        <w:left w:val="none" w:sz="0" w:space="0" w:color="auto"/>
        <w:bottom w:val="none" w:sz="0" w:space="0" w:color="auto"/>
        <w:right w:val="none" w:sz="0" w:space="0" w:color="auto"/>
      </w:divBdr>
      <w:divsChild>
        <w:div w:id="781068880">
          <w:marLeft w:val="0"/>
          <w:marRight w:val="0"/>
          <w:marTop w:val="0"/>
          <w:marBottom w:val="0"/>
          <w:divBdr>
            <w:top w:val="none" w:sz="0" w:space="0" w:color="auto"/>
            <w:left w:val="none" w:sz="0" w:space="0" w:color="auto"/>
            <w:bottom w:val="none" w:sz="0" w:space="0" w:color="auto"/>
            <w:right w:val="none" w:sz="0" w:space="0" w:color="auto"/>
          </w:divBdr>
          <w:divsChild>
            <w:div w:id="416753054">
              <w:marLeft w:val="0"/>
              <w:marRight w:val="0"/>
              <w:marTop w:val="0"/>
              <w:marBottom w:val="0"/>
              <w:divBdr>
                <w:top w:val="none" w:sz="0" w:space="0" w:color="auto"/>
                <w:left w:val="none" w:sz="0" w:space="0" w:color="auto"/>
                <w:bottom w:val="none" w:sz="0" w:space="0" w:color="auto"/>
                <w:right w:val="none" w:sz="0" w:space="0" w:color="auto"/>
              </w:divBdr>
              <w:divsChild>
                <w:div w:id="199785661">
                  <w:marLeft w:val="0"/>
                  <w:marRight w:val="0"/>
                  <w:marTop w:val="0"/>
                  <w:marBottom w:val="0"/>
                  <w:divBdr>
                    <w:top w:val="none" w:sz="0" w:space="0" w:color="auto"/>
                    <w:left w:val="none" w:sz="0" w:space="0" w:color="auto"/>
                    <w:bottom w:val="none" w:sz="0" w:space="0" w:color="auto"/>
                    <w:right w:val="none" w:sz="0" w:space="0" w:color="auto"/>
                  </w:divBdr>
                  <w:divsChild>
                    <w:div w:id="2137676897">
                      <w:marLeft w:val="0"/>
                      <w:marRight w:val="0"/>
                      <w:marTop w:val="0"/>
                      <w:marBottom w:val="0"/>
                      <w:divBdr>
                        <w:top w:val="none" w:sz="0" w:space="0" w:color="auto"/>
                        <w:left w:val="none" w:sz="0" w:space="0" w:color="auto"/>
                        <w:bottom w:val="none" w:sz="0" w:space="0" w:color="auto"/>
                        <w:right w:val="none" w:sz="0" w:space="0" w:color="auto"/>
                      </w:divBdr>
                      <w:divsChild>
                        <w:div w:id="1765030086">
                          <w:marLeft w:val="0"/>
                          <w:marRight w:val="0"/>
                          <w:marTop w:val="0"/>
                          <w:marBottom w:val="0"/>
                          <w:divBdr>
                            <w:top w:val="none" w:sz="0" w:space="0" w:color="auto"/>
                            <w:left w:val="none" w:sz="0" w:space="0" w:color="auto"/>
                            <w:bottom w:val="none" w:sz="0" w:space="0" w:color="auto"/>
                            <w:right w:val="none" w:sz="0" w:space="0" w:color="auto"/>
                          </w:divBdr>
                          <w:divsChild>
                            <w:div w:id="1122262042">
                              <w:marLeft w:val="0"/>
                              <w:marRight w:val="0"/>
                              <w:marTop w:val="0"/>
                              <w:marBottom w:val="0"/>
                              <w:divBdr>
                                <w:top w:val="none" w:sz="0" w:space="0" w:color="auto"/>
                                <w:left w:val="none" w:sz="0" w:space="0" w:color="auto"/>
                                <w:bottom w:val="none" w:sz="0" w:space="0" w:color="auto"/>
                                <w:right w:val="none" w:sz="0" w:space="0" w:color="auto"/>
                              </w:divBdr>
                              <w:divsChild>
                                <w:div w:id="1470781898">
                                  <w:marLeft w:val="0"/>
                                  <w:marRight w:val="0"/>
                                  <w:marTop w:val="0"/>
                                  <w:marBottom w:val="0"/>
                                  <w:divBdr>
                                    <w:top w:val="none" w:sz="0" w:space="0" w:color="auto"/>
                                    <w:left w:val="none" w:sz="0" w:space="0" w:color="auto"/>
                                    <w:bottom w:val="none" w:sz="0" w:space="0" w:color="auto"/>
                                    <w:right w:val="none" w:sz="0" w:space="0" w:color="auto"/>
                                  </w:divBdr>
                                  <w:divsChild>
                                    <w:div w:id="235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926">
                          <w:marLeft w:val="0"/>
                          <w:marRight w:val="0"/>
                          <w:marTop w:val="0"/>
                          <w:marBottom w:val="0"/>
                          <w:divBdr>
                            <w:top w:val="none" w:sz="0" w:space="0" w:color="auto"/>
                            <w:left w:val="none" w:sz="0" w:space="0" w:color="auto"/>
                            <w:bottom w:val="none" w:sz="0" w:space="0" w:color="auto"/>
                            <w:right w:val="none" w:sz="0" w:space="0" w:color="auto"/>
                          </w:divBdr>
                          <w:divsChild>
                            <w:div w:id="738671129">
                              <w:marLeft w:val="0"/>
                              <w:marRight w:val="0"/>
                              <w:marTop w:val="0"/>
                              <w:marBottom w:val="0"/>
                              <w:divBdr>
                                <w:top w:val="none" w:sz="0" w:space="0" w:color="auto"/>
                                <w:left w:val="none" w:sz="0" w:space="0" w:color="auto"/>
                                <w:bottom w:val="none" w:sz="0" w:space="0" w:color="auto"/>
                                <w:right w:val="none" w:sz="0" w:space="0" w:color="auto"/>
                              </w:divBdr>
                              <w:divsChild>
                                <w:div w:id="4810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sChild>
        <w:div w:id="970864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977886">
      <w:bodyDiv w:val="1"/>
      <w:marLeft w:val="0"/>
      <w:marRight w:val="0"/>
      <w:marTop w:val="0"/>
      <w:marBottom w:val="0"/>
      <w:divBdr>
        <w:top w:val="none" w:sz="0" w:space="0" w:color="auto"/>
        <w:left w:val="none" w:sz="0" w:space="0" w:color="auto"/>
        <w:bottom w:val="none" w:sz="0" w:space="0" w:color="auto"/>
        <w:right w:val="none" w:sz="0" w:space="0" w:color="auto"/>
      </w:divBdr>
      <w:divsChild>
        <w:div w:id="1810591812">
          <w:marLeft w:val="0"/>
          <w:marRight w:val="0"/>
          <w:marTop w:val="100"/>
          <w:marBottom w:val="100"/>
          <w:divBdr>
            <w:top w:val="none" w:sz="0" w:space="0" w:color="auto"/>
            <w:left w:val="none" w:sz="0" w:space="0" w:color="auto"/>
            <w:bottom w:val="none" w:sz="0" w:space="0" w:color="auto"/>
            <w:right w:val="none" w:sz="0" w:space="0" w:color="auto"/>
          </w:divBdr>
          <w:divsChild>
            <w:div w:id="424619791">
              <w:marLeft w:val="0"/>
              <w:marRight w:val="0"/>
              <w:marTop w:val="0"/>
              <w:marBottom w:val="0"/>
              <w:divBdr>
                <w:top w:val="none" w:sz="0" w:space="0" w:color="auto"/>
                <w:left w:val="none" w:sz="0" w:space="0" w:color="auto"/>
                <w:bottom w:val="none" w:sz="0" w:space="0" w:color="auto"/>
                <w:right w:val="none" w:sz="0" w:space="0" w:color="auto"/>
              </w:divBdr>
              <w:divsChild>
                <w:div w:id="1449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510">
          <w:marLeft w:val="0"/>
          <w:marRight w:val="0"/>
          <w:marTop w:val="0"/>
          <w:marBottom w:val="0"/>
          <w:divBdr>
            <w:top w:val="none" w:sz="0" w:space="0" w:color="auto"/>
            <w:left w:val="none" w:sz="0" w:space="0" w:color="auto"/>
            <w:bottom w:val="none" w:sz="0" w:space="0" w:color="auto"/>
            <w:right w:val="none" w:sz="0" w:space="0" w:color="auto"/>
          </w:divBdr>
          <w:divsChild>
            <w:div w:id="1229800536">
              <w:marLeft w:val="-240"/>
              <w:marRight w:val="-240"/>
              <w:marTop w:val="0"/>
              <w:marBottom w:val="0"/>
              <w:divBdr>
                <w:top w:val="none" w:sz="0" w:space="0" w:color="auto"/>
                <w:left w:val="none" w:sz="0" w:space="0" w:color="auto"/>
                <w:bottom w:val="none" w:sz="0" w:space="0" w:color="auto"/>
                <w:right w:val="none" w:sz="0" w:space="0" w:color="auto"/>
              </w:divBdr>
              <w:divsChild>
                <w:div w:id="579364451">
                  <w:marLeft w:val="0"/>
                  <w:marRight w:val="0"/>
                  <w:marTop w:val="0"/>
                  <w:marBottom w:val="0"/>
                  <w:divBdr>
                    <w:top w:val="none" w:sz="0" w:space="0" w:color="auto"/>
                    <w:left w:val="none" w:sz="0" w:space="0" w:color="auto"/>
                    <w:bottom w:val="none" w:sz="0" w:space="0" w:color="auto"/>
                    <w:right w:val="none" w:sz="0" w:space="0" w:color="auto"/>
                  </w:divBdr>
                  <w:divsChild>
                    <w:div w:id="55512099">
                      <w:marLeft w:val="0"/>
                      <w:marRight w:val="0"/>
                      <w:marTop w:val="0"/>
                      <w:marBottom w:val="0"/>
                      <w:divBdr>
                        <w:top w:val="none" w:sz="0" w:space="0" w:color="auto"/>
                        <w:left w:val="none" w:sz="0" w:space="0" w:color="auto"/>
                        <w:bottom w:val="none" w:sz="0" w:space="0" w:color="auto"/>
                        <w:right w:val="none" w:sz="0" w:space="0" w:color="auto"/>
                      </w:divBdr>
                      <w:divsChild>
                        <w:div w:id="2036686620">
                          <w:marLeft w:val="150"/>
                          <w:marRight w:val="0"/>
                          <w:marTop w:val="0"/>
                          <w:marBottom w:val="0"/>
                          <w:divBdr>
                            <w:top w:val="none" w:sz="0" w:space="0" w:color="auto"/>
                            <w:left w:val="none" w:sz="0" w:space="0" w:color="auto"/>
                            <w:bottom w:val="none" w:sz="0" w:space="0" w:color="auto"/>
                            <w:right w:val="none" w:sz="0" w:space="0" w:color="auto"/>
                          </w:divBdr>
                        </w:div>
                        <w:div w:id="1407605166">
                          <w:marLeft w:val="0"/>
                          <w:marRight w:val="0"/>
                          <w:marTop w:val="0"/>
                          <w:marBottom w:val="0"/>
                          <w:divBdr>
                            <w:top w:val="none" w:sz="0" w:space="0" w:color="auto"/>
                            <w:left w:val="none" w:sz="0" w:space="0" w:color="auto"/>
                            <w:bottom w:val="single" w:sz="6" w:space="0" w:color="F5F5F7"/>
                            <w:right w:val="none" w:sz="0" w:space="0" w:color="auto"/>
                          </w:divBdr>
                        </w:div>
                      </w:divsChild>
                    </w:div>
                  </w:divsChild>
                </w:div>
                <w:div w:id="1083648255">
                  <w:marLeft w:val="0"/>
                  <w:marRight w:val="0"/>
                  <w:marTop w:val="0"/>
                  <w:marBottom w:val="0"/>
                  <w:divBdr>
                    <w:top w:val="none" w:sz="0" w:space="0" w:color="auto"/>
                    <w:left w:val="none" w:sz="0" w:space="0" w:color="auto"/>
                    <w:bottom w:val="none" w:sz="0" w:space="0" w:color="auto"/>
                    <w:right w:val="none" w:sz="0" w:space="0" w:color="auto"/>
                  </w:divBdr>
                  <w:divsChild>
                    <w:div w:id="1661040763">
                      <w:marLeft w:val="-240"/>
                      <w:marRight w:val="-240"/>
                      <w:marTop w:val="0"/>
                      <w:marBottom w:val="0"/>
                      <w:divBdr>
                        <w:top w:val="none" w:sz="0" w:space="0" w:color="auto"/>
                        <w:left w:val="none" w:sz="0" w:space="0" w:color="auto"/>
                        <w:bottom w:val="none" w:sz="0" w:space="0" w:color="auto"/>
                        <w:right w:val="none" w:sz="0" w:space="0" w:color="auto"/>
                      </w:divBdr>
                      <w:divsChild>
                        <w:div w:id="1355960745">
                          <w:marLeft w:val="0"/>
                          <w:marRight w:val="0"/>
                          <w:marTop w:val="0"/>
                          <w:marBottom w:val="0"/>
                          <w:divBdr>
                            <w:top w:val="none" w:sz="0" w:space="0" w:color="auto"/>
                            <w:left w:val="none" w:sz="0" w:space="0" w:color="auto"/>
                            <w:bottom w:val="none" w:sz="0" w:space="0" w:color="auto"/>
                            <w:right w:val="none" w:sz="0" w:space="0" w:color="auto"/>
                          </w:divBdr>
                          <w:divsChild>
                            <w:div w:id="1855684599">
                              <w:marLeft w:val="0"/>
                              <w:marRight w:val="0"/>
                              <w:marTop w:val="0"/>
                              <w:marBottom w:val="0"/>
                              <w:divBdr>
                                <w:top w:val="none" w:sz="0" w:space="0" w:color="auto"/>
                                <w:left w:val="none" w:sz="0" w:space="0" w:color="auto"/>
                                <w:bottom w:val="none" w:sz="0" w:space="0" w:color="auto"/>
                                <w:right w:val="none" w:sz="0" w:space="0" w:color="auto"/>
                              </w:divBdr>
                              <w:divsChild>
                                <w:div w:id="1740864013">
                                  <w:marLeft w:val="0"/>
                                  <w:marRight w:val="0"/>
                                  <w:marTop w:val="0"/>
                                  <w:marBottom w:val="0"/>
                                  <w:divBdr>
                                    <w:top w:val="none" w:sz="0" w:space="0" w:color="auto"/>
                                    <w:left w:val="none" w:sz="0" w:space="0" w:color="auto"/>
                                    <w:bottom w:val="none" w:sz="0" w:space="0" w:color="auto"/>
                                    <w:right w:val="none" w:sz="0" w:space="0" w:color="auto"/>
                                  </w:divBdr>
                                  <w:divsChild>
                                    <w:div w:id="602880480">
                                      <w:marLeft w:val="0"/>
                                      <w:marRight w:val="0"/>
                                      <w:marTop w:val="0"/>
                                      <w:marBottom w:val="0"/>
                                      <w:divBdr>
                                        <w:top w:val="none" w:sz="0" w:space="0" w:color="auto"/>
                                        <w:left w:val="none" w:sz="0" w:space="0" w:color="auto"/>
                                        <w:bottom w:val="none" w:sz="0" w:space="0" w:color="auto"/>
                                        <w:right w:val="none" w:sz="0" w:space="0" w:color="auto"/>
                                      </w:divBdr>
                                      <w:divsChild>
                                        <w:div w:id="1681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416132">
      <w:bodyDiv w:val="1"/>
      <w:marLeft w:val="0"/>
      <w:marRight w:val="0"/>
      <w:marTop w:val="0"/>
      <w:marBottom w:val="0"/>
      <w:divBdr>
        <w:top w:val="none" w:sz="0" w:space="0" w:color="auto"/>
        <w:left w:val="none" w:sz="0" w:space="0" w:color="auto"/>
        <w:bottom w:val="none" w:sz="0" w:space="0" w:color="auto"/>
        <w:right w:val="none" w:sz="0" w:space="0" w:color="auto"/>
      </w:divBdr>
    </w:div>
    <w:div w:id="1286041675">
      <w:bodyDiv w:val="1"/>
      <w:marLeft w:val="0"/>
      <w:marRight w:val="0"/>
      <w:marTop w:val="0"/>
      <w:marBottom w:val="0"/>
      <w:divBdr>
        <w:top w:val="none" w:sz="0" w:space="0" w:color="auto"/>
        <w:left w:val="none" w:sz="0" w:space="0" w:color="auto"/>
        <w:bottom w:val="none" w:sz="0" w:space="0" w:color="auto"/>
        <w:right w:val="none" w:sz="0" w:space="0" w:color="auto"/>
      </w:divBdr>
    </w:div>
    <w:div w:id="1317996070">
      <w:bodyDiv w:val="1"/>
      <w:marLeft w:val="0"/>
      <w:marRight w:val="0"/>
      <w:marTop w:val="0"/>
      <w:marBottom w:val="0"/>
      <w:divBdr>
        <w:top w:val="none" w:sz="0" w:space="0" w:color="auto"/>
        <w:left w:val="none" w:sz="0" w:space="0" w:color="auto"/>
        <w:bottom w:val="none" w:sz="0" w:space="0" w:color="auto"/>
        <w:right w:val="none" w:sz="0" w:space="0" w:color="auto"/>
      </w:divBdr>
    </w:div>
    <w:div w:id="1328559942">
      <w:bodyDiv w:val="1"/>
      <w:marLeft w:val="0"/>
      <w:marRight w:val="0"/>
      <w:marTop w:val="0"/>
      <w:marBottom w:val="0"/>
      <w:divBdr>
        <w:top w:val="none" w:sz="0" w:space="0" w:color="auto"/>
        <w:left w:val="none" w:sz="0" w:space="0" w:color="auto"/>
        <w:bottom w:val="none" w:sz="0" w:space="0" w:color="auto"/>
        <w:right w:val="none" w:sz="0" w:space="0" w:color="auto"/>
      </w:divBdr>
      <w:divsChild>
        <w:div w:id="1918438102">
          <w:marLeft w:val="0"/>
          <w:marRight w:val="0"/>
          <w:marTop w:val="0"/>
          <w:marBottom w:val="0"/>
          <w:divBdr>
            <w:top w:val="none" w:sz="0" w:space="0" w:color="auto"/>
            <w:left w:val="none" w:sz="0" w:space="0" w:color="auto"/>
            <w:bottom w:val="none" w:sz="0" w:space="0" w:color="auto"/>
            <w:right w:val="none" w:sz="0" w:space="0" w:color="auto"/>
          </w:divBdr>
          <w:divsChild>
            <w:div w:id="401412977">
              <w:marLeft w:val="0"/>
              <w:marRight w:val="0"/>
              <w:marTop w:val="0"/>
              <w:marBottom w:val="0"/>
              <w:divBdr>
                <w:top w:val="none" w:sz="0" w:space="0" w:color="auto"/>
                <w:left w:val="none" w:sz="0" w:space="0" w:color="auto"/>
                <w:bottom w:val="none" w:sz="0" w:space="0" w:color="auto"/>
                <w:right w:val="none" w:sz="0" w:space="0" w:color="auto"/>
              </w:divBdr>
              <w:divsChild>
                <w:div w:id="594289597">
                  <w:marLeft w:val="0"/>
                  <w:marRight w:val="0"/>
                  <w:marTop w:val="0"/>
                  <w:marBottom w:val="0"/>
                  <w:divBdr>
                    <w:top w:val="none" w:sz="0" w:space="0" w:color="auto"/>
                    <w:left w:val="none" w:sz="0" w:space="0" w:color="auto"/>
                    <w:bottom w:val="none" w:sz="0" w:space="0" w:color="auto"/>
                    <w:right w:val="none" w:sz="0" w:space="0" w:color="auto"/>
                  </w:divBdr>
                  <w:divsChild>
                    <w:div w:id="1496073091">
                      <w:marLeft w:val="0"/>
                      <w:marRight w:val="0"/>
                      <w:marTop w:val="0"/>
                      <w:marBottom w:val="0"/>
                      <w:divBdr>
                        <w:top w:val="none" w:sz="0" w:space="0" w:color="auto"/>
                        <w:left w:val="none" w:sz="0" w:space="0" w:color="auto"/>
                        <w:bottom w:val="none" w:sz="0" w:space="0" w:color="auto"/>
                        <w:right w:val="none" w:sz="0" w:space="0" w:color="auto"/>
                      </w:divBdr>
                      <w:divsChild>
                        <w:div w:id="1523015096">
                          <w:marLeft w:val="0"/>
                          <w:marRight w:val="0"/>
                          <w:marTop w:val="0"/>
                          <w:marBottom w:val="0"/>
                          <w:divBdr>
                            <w:top w:val="none" w:sz="0" w:space="0" w:color="auto"/>
                            <w:left w:val="none" w:sz="0" w:space="0" w:color="auto"/>
                            <w:bottom w:val="none" w:sz="0" w:space="0" w:color="auto"/>
                            <w:right w:val="none" w:sz="0" w:space="0" w:color="auto"/>
                          </w:divBdr>
                          <w:divsChild>
                            <w:div w:id="350185171">
                              <w:marLeft w:val="0"/>
                              <w:marRight w:val="0"/>
                              <w:marTop w:val="0"/>
                              <w:marBottom w:val="0"/>
                              <w:divBdr>
                                <w:top w:val="none" w:sz="0" w:space="0" w:color="auto"/>
                                <w:left w:val="none" w:sz="0" w:space="0" w:color="auto"/>
                                <w:bottom w:val="none" w:sz="0" w:space="0" w:color="auto"/>
                                <w:right w:val="none" w:sz="0" w:space="0" w:color="auto"/>
                              </w:divBdr>
                              <w:divsChild>
                                <w:div w:id="45373353">
                                  <w:marLeft w:val="0"/>
                                  <w:marRight w:val="0"/>
                                  <w:marTop w:val="0"/>
                                  <w:marBottom w:val="0"/>
                                  <w:divBdr>
                                    <w:top w:val="none" w:sz="0" w:space="0" w:color="auto"/>
                                    <w:left w:val="none" w:sz="0" w:space="0" w:color="auto"/>
                                    <w:bottom w:val="none" w:sz="0" w:space="0" w:color="auto"/>
                                    <w:right w:val="none" w:sz="0" w:space="0" w:color="auto"/>
                                  </w:divBdr>
                                  <w:divsChild>
                                    <w:div w:id="10314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0667">
                          <w:marLeft w:val="0"/>
                          <w:marRight w:val="0"/>
                          <w:marTop w:val="0"/>
                          <w:marBottom w:val="0"/>
                          <w:divBdr>
                            <w:top w:val="none" w:sz="0" w:space="0" w:color="auto"/>
                            <w:left w:val="none" w:sz="0" w:space="0" w:color="auto"/>
                            <w:bottom w:val="none" w:sz="0" w:space="0" w:color="auto"/>
                            <w:right w:val="none" w:sz="0" w:space="0" w:color="auto"/>
                          </w:divBdr>
                          <w:divsChild>
                            <w:div w:id="105782482">
                              <w:marLeft w:val="0"/>
                              <w:marRight w:val="0"/>
                              <w:marTop w:val="0"/>
                              <w:marBottom w:val="0"/>
                              <w:divBdr>
                                <w:top w:val="none" w:sz="0" w:space="0" w:color="auto"/>
                                <w:left w:val="none" w:sz="0" w:space="0" w:color="auto"/>
                                <w:bottom w:val="none" w:sz="0" w:space="0" w:color="auto"/>
                                <w:right w:val="none" w:sz="0" w:space="0" w:color="auto"/>
                              </w:divBdr>
                              <w:divsChild>
                                <w:div w:id="219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46875">
      <w:bodyDiv w:val="1"/>
      <w:marLeft w:val="0"/>
      <w:marRight w:val="0"/>
      <w:marTop w:val="0"/>
      <w:marBottom w:val="0"/>
      <w:divBdr>
        <w:top w:val="none" w:sz="0" w:space="0" w:color="auto"/>
        <w:left w:val="none" w:sz="0" w:space="0" w:color="auto"/>
        <w:bottom w:val="none" w:sz="0" w:space="0" w:color="auto"/>
        <w:right w:val="none" w:sz="0" w:space="0" w:color="auto"/>
      </w:divBdr>
    </w:div>
    <w:div w:id="1361709607">
      <w:bodyDiv w:val="1"/>
      <w:marLeft w:val="0"/>
      <w:marRight w:val="0"/>
      <w:marTop w:val="0"/>
      <w:marBottom w:val="0"/>
      <w:divBdr>
        <w:top w:val="none" w:sz="0" w:space="0" w:color="auto"/>
        <w:left w:val="none" w:sz="0" w:space="0" w:color="auto"/>
        <w:bottom w:val="none" w:sz="0" w:space="0" w:color="auto"/>
        <w:right w:val="none" w:sz="0" w:space="0" w:color="auto"/>
      </w:divBdr>
    </w:div>
    <w:div w:id="1365710056">
      <w:bodyDiv w:val="1"/>
      <w:marLeft w:val="0"/>
      <w:marRight w:val="0"/>
      <w:marTop w:val="0"/>
      <w:marBottom w:val="0"/>
      <w:divBdr>
        <w:top w:val="none" w:sz="0" w:space="0" w:color="auto"/>
        <w:left w:val="none" w:sz="0" w:space="0" w:color="auto"/>
        <w:bottom w:val="none" w:sz="0" w:space="0" w:color="auto"/>
        <w:right w:val="none" w:sz="0" w:space="0" w:color="auto"/>
      </w:divBdr>
    </w:div>
    <w:div w:id="1396128843">
      <w:bodyDiv w:val="1"/>
      <w:marLeft w:val="0"/>
      <w:marRight w:val="0"/>
      <w:marTop w:val="0"/>
      <w:marBottom w:val="0"/>
      <w:divBdr>
        <w:top w:val="none" w:sz="0" w:space="0" w:color="auto"/>
        <w:left w:val="none" w:sz="0" w:space="0" w:color="auto"/>
        <w:bottom w:val="none" w:sz="0" w:space="0" w:color="auto"/>
        <w:right w:val="none" w:sz="0" w:space="0" w:color="auto"/>
      </w:divBdr>
    </w:div>
    <w:div w:id="1396591020">
      <w:bodyDiv w:val="1"/>
      <w:marLeft w:val="0"/>
      <w:marRight w:val="0"/>
      <w:marTop w:val="0"/>
      <w:marBottom w:val="0"/>
      <w:divBdr>
        <w:top w:val="none" w:sz="0" w:space="0" w:color="auto"/>
        <w:left w:val="none" w:sz="0" w:space="0" w:color="auto"/>
        <w:bottom w:val="none" w:sz="0" w:space="0" w:color="auto"/>
        <w:right w:val="none" w:sz="0" w:space="0" w:color="auto"/>
      </w:divBdr>
    </w:div>
    <w:div w:id="1404793515">
      <w:bodyDiv w:val="1"/>
      <w:marLeft w:val="0"/>
      <w:marRight w:val="0"/>
      <w:marTop w:val="0"/>
      <w:marBottom w:val="0"/>
      <w:divBdr>
        <w:top w:val="none" w:sz="0" w:space="0" w:color="auto"/>
        <w:left w:val="none" w:sz="0" w:space="0" w:color="auto"/>
        <w:bottom w:val="none" w:sz="0" w:space="0" w:color="auto"/>
        <w:right w:val="none" w:sz="0" w:space="0" w:color="auto"/>
      </w:divBdr>
    </w:div>
    <w:div w:id="1457094233">
      <w:bodyDiv w:val="1"/>
      <w:marLeft w:val="0"/>
      <w:marRight w:val="0"/>
      <w:marTop w:val="0"/>
      <w:marBottom w:val="0"/>
      <w:divBdr>
        <w:top w:val="none" w:sz="0" w:space="0" w:color="auto"/>
        <w:left w:val="none" w:sz="0" w:space="0" w:color="auto"/>
        <w:bottom w:val="none" w:sz="0" w:space="0" w:color="auto"/>
        <w:right w:val="none" w:sz="0" w:space="0" w:color="auto"/>
      </w:divBdr>
    </w:div>
    <w:div w:id="1461066793">
      <w:bodyDiv w:val="1"/>
      <w:marLeft w:val="0"/>
      <w:marRight w:val="0"/>
      <w:marTop w:val="0"/>
      <w:marBottom w:val="0"/>
      <w:divBdr>
        <w:top w:val="none" w:sz="0" w:space="0" w:color="auto"/>
        <w:left w:val="none" w:sz="0" w:space="0" w:color="auto"/>
        <w:bottom w:val="none" w:sz="0" w:space="0" w:color="auto"/>
        <w:right w:val="none" w:sz="0" w:space="0" w:color="auto"/>
      </w:divBdr>
    </w:div>
    <w:div w:id="1484854585">
      <w:bodyDiv w:val="1"/>
      <w:marLeft w:val="0"/>
      <w:marRight w:val="0"/>
      <w:marTop w:val="0"/>
      <w:marBottom w:val="0"/>
      <w:divBdr>
        <w:top w:val="none" w:sz="0" w:space="0" w:color="auto"/>
        <w:left w:val="none" w:sz="0" w:space="0" w:color="auto"/>
        <w:bottom w:val="none" w:sz="0" w:space="0" w:color="auto"/>
        <w:right w:val="none" w:sz="0" w:space="0" w:color="auto"/>
      </w:divBdr>
      <w:divsChild>
        <w:div w:id="1408072661">
          <w:marLeft w:val="0"/>
          <w:marRight w:val="0"/>
          <w:marTop w:val="0"/>
          <w:marBottom w:val="0"/>
          <w:divBdr>
            <w:top w:val="none" w:sz="0" w:space="0" w:color="auto"/>
            <w:left w:val="none" w:sz="0" w:space="0" w:color="auto"/>
            <w:bottom w:val="none" w:sz="0" w:space="0" w:color="auto"/>
            <w:right w:val="none" w:sz="0" w:space="0" w:color="auto"/>
          </w:divBdr>
          <w:divsChild>
            <w:div w:id="1093431766">
              <w:marLeft w:val="0"/>
              <w:marRight w:val="0"/>
              <w:marTop w:val="0"/>
              <w:marBottom w:val="0"/>
              <w:divBdr>
                <w:top w:val="none" w:sz="0" w:space="0" w:color="auto"/>
                <w:left w:val="none" w:sz="0" w:space="0" w:color="auto"/>
                <w:bottom w:val="none" w:sz="0" w:space="0" w:color="auto"/>
                <w:right w:val="none" w:sz="0" w:space="0" w:color="auto"/>
              </w:divBdr>
              <w:divsChild>
                <w:div w:id="1112016848">
                  <w:marLeft w:val="0"/>
                  <w:marRight w:val="0"/>
                  <w:marTop w:val="0"/>
                  <w:marBottom w:val="0"/>
                  <w:divBdr>
                    <w:top w:val="none" w:sz="0" w:space="0" w:color="auto"/>
                    <w:left w:val="none" w:sz="0" w:space="0" w:color="auto"/>
                    <w:bottom w:val="none" w:sz="0" w:space="0" w:color="auto"/>
                    <w:right w:val="none" w:sz="0" w:space="0" w:color="auto"/>
                  </w:divBdr>
                  <w:divsChild>
                    <w:div w:id="1574389199">
                      <w:marLeft w:val="0"/>
                      <w:marRight w:val="0"/>
                      <w:marTop w:val="0"/>
                      <w:marBottom w:val="0"/>
                      <w:divBdr>
                        <w:top w:val="none" w:sz="0" w:space="0" w:color="auto"/>
                        <w:left w:val="none" w:sz="0" w:space="0" w:color="auto"/>
                        <w:bottom w:val="none" w:sz="0" w:space="0" w:color="auto"/>
                        <w:right w:val="none" w:sz="0" w:space="0" w:color="auto"/>
                      </w:divBdr>
                      <w:divsChild>
                        <w:div w:id="986083381">
                          <w:marLeft w:val="0"/>
                          <w:marRight w:val="0"/>
                          <w:marTop w:val="0"/>
                          <w:marBottom w:val="0"/>
                          <w:divBdr>
                            <w:top w:val="none" w:sz="0" w:space="0" w:color="auto"/>
                            <w:left w:val="none" w:sz="0" w:space="0" w:color="auto"/>
                            <w:bottom w:val="none" w:sz="0" w:space="0" w:color="auto"/>
                            <w:right w:val="none" w:sz="0" w:space="0" w:color="auto"/>
                          </w:divBdr>
                          <w:divsChild>
                            <w:div w:id="345517951">
                              <w:marLeft w:val="0"/>
                              <w:marRight w:val="0"/>
                              <w:marTop w:val="0"/>
                              <w:marBottom w:val="0"/>
                              <w:divBdr>
                                <w:top w:val="none" w:sz="0" w:space="0" w:color="auto"/>
                                <w:left w:val="none" w:sz="0" w:space="0" w:color="auto"/>
                                <w:bottom w:val="none" w:sz="0" w:space="0" w:color="auto"/>
                                <w:right w:val="none" w:sz="0" w:space="0" w:color="auto"/>
                              </w:divBdr>
                              <w:divsChild>
                                <w:div w:id="1044018685">
                                  <w:marLeft w:val="0"/>
                                  <w:marRight w:val="0"/>
                                  <w:marTop w:val="0"/>
                                  <w:marBottom w:val="0"/>
                                  <w:divBdr>
                                    <w:top w:val="none" w:sz="0" w:space="0" w:color="auto"/>
                                    <w:left w:val="none" w:sz="0" w:space="0" w:color="auto"/>
                                    <w:bottom w:val="none" w:sz="0" w:space="0" w:color="auto"/>
                                    <w:right w:val="none" w:sz="0" w:space="0" w:color="auto"/>
                                  </w:divBdr>
                                  <w:divsChild>
                                    <w:div w:id="823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385405">
      <w:bodyDiv w:val="1"/>
      <w:marLeft w:val="0"/>
      <w:marRight w:val="0"/>
      <w:marTop w:val="0"/>
      <w:marBottom w:val="0"/>
      <w:divBdr>
        <w:top w:val="none" w:sz="0" w:space="0" w:color="auto"/>
        <w:left w:val="none" w:sz="0" w:space="0" w:color="auto"/>
        <w:bottom w:val="none" w:sz="0" w:space="0" w:color="auto"/>
        <w:right w:val="none" w:sz="0" w:space="0" w:color="auto"/>
      </w:divBdr>
    </w:div>
    <w:div w:id="1530682948">
      <w:bodyDiv w:val="1"/>
      <w:marLeft w:val="0"/>
      <w:marRight w:val="0"/>
      <w:marTop w:val="0"/>
      <w:marBottom w:val="0"/>
      <w:divBdr>
        <w:top w:val="none" w:sz="0" w:space="0" w:color="auto"/>
        <w:left w:val="none" w:sz="0" w:space="0" w:color="auto"/>
        <w:bottom w:val="none" w:sz="0" w:space="0" w:color="auto"/>
        <w:right w:val="none" w:sz="0" w:space="0" w:color="auto"/>
      </w:divBdr>
      <w:divsChild>
        <w:div w:id="4228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2759">
      <w:bodyDiv w:val="1"/>
      <w:marLeft w:val="0"/>
      <w:marRight w:val="0"/>
      <w:marTop w:val="0"/>
      <w:marBottom w:val="0"/>
      <w:divBdr>
        <w:top w:val="none" w:sz="0" w:space="0" w:color="auto"/>
        <w:left w:val="none" w:sz="0" w:space="0" w:color="auto"/>
        <w:bottom w:val="none" w:sz="0" w:space="0" w:color="auto"/>
        <w:right w:val="none" w:sz="0" w:space="0" w:color="auto"/>
      </w:divBdr>
    </w:div>
    <w:div w:id="1552375486">
      <w:bodyDiv w:val="1"/>
      <w:marLeft w:val="0"/>
      <w:marRight w:val="0"/>
      <w:marTop w:val="0"/>
      <w:marBottom w:val="0"/>
      <w:divBdr>
        <w:top w:val="none" w:sz="0" w:space="0" w:color="auto"/>
        <w:left w:val="none" w:sz="0" w:space="0" w:color="auto"/>
        <w:bottom w:val="none" w:sz="0" w:space="0" w:color="auto"/>
        <w:right w:val="none" w:sz="0" w:space="0" w:color="auto"/>
      </w:divBdr>
    </w:div>
    <w:div w:id="1564483634">
      <w:bodyDiv w:val="1"/>
      <w:marLeft w:val="0"/>
      <w:marRight w:val="0"/>
      <w:marTop w:val="0"/>
      <w:marBottom w:val="0"/>
      <w:divBdr>
        <w:top w:val="none" w:sz="0" w:space="0" w:color="auto"/>
        <w:left w:val="none" w:sz="0" w:space="0" w:color="auto"/>
        <w:bottom w:val="none" w:sz="0" w:space="0" w:color="auto"/>
        <w:right w:val="none" w:sz="0" w:space="0" w:color="auto"/>
      </w:divBdr>
    </w:div>
    <w:div w:id="1574391496">
      <w:bodyDiv w:val="1"/>
      <w:marLeft w:val="0"/>
      <w:marRight w:val="0"/>
      <w:marTop w:val="0"/>
      <w:marBottom w:val="0"/>
      <w:divBdr>
        <w:top w:val="none" w:sz="0" w:space="0" w:color="auto"/>
        <w:left w:val="none" w:sz="0" w:space="0" w:color="auto"/>
        <w:bottom w:val="none" w:sz="0" w:space="0" w:color="auto"/>
        <w:right w:val="none" w:sz="0" w:space="0" w:color="auto"/>
      </w:divBdr>
      <w:divsChild>
        <w:div w:id="1680736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726057">
      <w:bodyDiv w:val="1"/>
      <w:marLeft w:val="0"/>
      <w:marRight w:val="0"/>
      <w:marTop w:val="0"/>
      <w:marBottom w:val="0"/>
      <w:divBdr>
        <w:top w:val="none" w:sz="0" w:space="0" w:color="auto"/>
        <w:left w:val="none" w:sz="0" w:space="0" w:color="auto"/>
        <w:bottom w:val="none" w:sz="0" w:space="0" w:color="auto"/>
        <w:right w:val="none" w:sz="0" w:space="0" w:color="auto"/>
      </w:divBdr>
      <w:divsChild>
        <w:div w:id="1434979901">
          <w:marLeft w:val="0"/>
          <w:marRight w:val="0"/>
          <w:marTop w:val="100"/>
          <w:marBottom w:val="100"/>
          <w:divBdr>
            <w:top w:val="none" w:sz="0" w:space="0" w:color="auto"/>
            <w:left w:val="none" w:sz="0" w:space="0" w:color="auto"/>
            <w:bottom w:val="none" w:sz="0" w:space="0" w:color="auto"/>
            <w:right w:val="none" w:sz="0" w:space="0" w:color="auto"/>
          </w:divBdr>
          <w:divsChild>
            <w:div w:id="1110080529">
              <w:marLeft w:val="0"/>
              <w:marRight w:val="0"/>
              <w:marTop w:val="0"/>
              <w:marBottom w:val="0"/>
              <w:divBdr>
                <w:top w:val="none" w:sz="0" w:space="0" w:color="auto"/>
                <w:left w:val="none" w:sz="0" w:space="0" w:color="auto"/>
                <w:bottom w:val="none" w:sz="0" w:space="0" w:color="auto"/>
                <w:right w:val="none" w:sz="0" w:space="0" w:color="auto"/>
              </w:divBdr>
              <w:divsChild>
                <w:div w:id="2045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4885">
          <w:marLeft w:val="0"/>
          <w:marRight w:val="0"/>
          <w:marTop w:val="0"/>
          <w:marBottom w:val="0"/>
          <w:divBdr>
            <w:top w:val="none" w:sz="0" w:space="0" w:color="auto"/>
            <w:left w:val="none" w:sz="0" w:space="0" w:color="auto"/>
            <w:bottom w:val="none" w:sz="0" w:space="0" w:color="auto"/>
            <w:right w:val="none" w:sz="0" w:space="0" w:color="auto"/>
          </w:divBdr>
          <w:divsChild>
            <w:div w:id="765997075">
              <w:marLeft w:val="-240"/>
              <w:marRight w:val="-240"/>
              <w:marTop w:val="0"/>
              <w:marBottom w:val="0"/>
              <w:divBdr>
                <w:top w:val="none" w:sz="0" w:space="0" w:color="auto"/>
                <w:left w:val="none" w:sz="0" w:space="0" w:color="auto"/>
                <w:bottom w:val="none" w:sz="0" w:space="0" w:color="auto"/>
                <w:right w:val="none" w:sz="0" w:space="0" w:color="auto"/>
              </w:divBdr>
              <w:divsChild>
                <w:div w:id="1870482777">
                  <w:marLeft w:val="0"/>
                  <w:marRight w:val="0"/>
                  <w:marTop w:val="0"/>
                  <w:marBottom w:val="0"/>
                  <w:divBdr>
                    <w:top w:val="none" w:sz="0" w:space="0" w:color="auto"/>
                    <w:left w:val="none" w:sz="0" w:space="0" w:color="auto"/>
                    <w:bottom w:val="none" w:sz="0" w:space="0" w:color="auto"/>
                    <w:right w:val="none" w:sz="0" w:space="0" w:color="auto"/>
                  </w:divBdr>
                  <w:divsChild>
                    <w:div w:id="265233253">
                      <w:marLeft w:val="0"/>
                      <w:marRight w:val="0"/>
                      <w:marTop w:val="0"/>
                      <w:marBottom w:val="0"/>
                      <w:divBdr>
                        <w:top w:val="none" w:sz="0" w:space="0" w:color="auto"/>
                        <w:left w:val="none" w:sz="0" w:space="0" w:color="auto"/>
                        <w:bottom w:val="none" w:sz="0" w:space="0" w:color="auto"/>
                        <w:right w:val="none" w:sz="0" w:space="0" w:color="auto"/>
                      </w:divBdr>
                      <w:divsChild>
                        <w:div w:id="1415127641">
                          <w:marLeft w:val="150"/>
                          <w:marRight w:val="0"/>
                          <w:marTop w:val="0"/>
                          <w:marBottom w:val="0"/>
                          <w:divBdr>
                            <w:top w:val="none" w:sz="0" w:space="0" w:color="auto"/>
                            <w:left w:val="none" w:sz="0" w:space="0" w:color="auto"/>
                            <w:bottom w:val="none" w:sz="0" w:space="0" w:color="auto"/>
                            <w:right w:val="none" w:sz="0" w:space="0" w:color="auto"/>
                          </w:divBdr>
                        </w:div>
                        <w:div w:id="893464429">
                          <w:marLeft w:val="0"/>
                          <w:marRight w:val="0"/>
                          <w:marTop w:val="0"/>
                          <w:marBottom w:val="0"/>
                          <w:divBdr>
                            <w:top w:val="none" w:sz="0" w:space="0" w:color="auto"/>
                            <w:left w:val="none" w:sz="0" w:space="0" w:color="auto"/>
                            <w:bottom w:val="single" w:sz="6" w:space="0" w:color="F5F5F7"/>
                            <w:right w:val="none" w:sz="0" w:space="0" w:color="auto"/>
                          </w:divBdr>
                        </w:div>
                      </w:divsChild>
                    </w:div>
                  </w:divsChild>
                </w:div>
                <w:div w:id="1886137378">
                  <w:marLeft w:val="0"/>
                  <w:marRight w:val="0"/>
                  <w:marTop w:val="0"/>
                  <w:marBottom w:val="0"/>
                  <w:divBdr>
                    <w:top w:val="none" w:sz="0" w:space="0" w:color="auto"/>
                    <w:left w:val="none" w:sz="0" w:space="0" w:color="auto"/>
                    <w:bottom w:val="none" w:sz="0" w:space="0" w:color="auto"/>
                    <w:right w:val="none" w:sz="0" w:space="0" w:color="auto"/>
                  </w:divBdr>
                  <w:divsChild>
                    <w:div w:id="1905145192">
                      <w:marLeft w:val="-240"/>
                      <w:marRight w:val="-240"/>
                      <w:marTop w:val="0"/>
                      <w:marBottom w:val="0"/>
                      <w:divBdr>
                        <w:top w:val="none" w:sz="0" w:space="0" w:color="auto"/>
                        <w:left w:val="none" w:sz="0" w:space="0" w:color="auto"/>
                        <w:bottom w:val="none" w:sz="0" w:space="0" w:color="auto"/>
                        <w:right w:val="none" w:sz="0" w:space="0" w:color="auto"/>
                      </w:divBdr>
                      <w:divsChild>
                        <w:div w:id="2078739867">
                          <w:marLeft w:val="0"/>
                          <w:marRight w:val="0"/>
                          <w:marTop w:val="0"/>
                          <w:marBottom w:val="0"/>
                          <w:divBdr>
                            <w:top w:val="none" w:sz="0" w:space="0" w:color="auto"/>
                            <w:left w:val="none" w:sz="0" w:space="0" w:color="auto"/>
                            <w:bottom w:val="none" w:sz="0" w:space="0" w:color="auto"/>
                            <w:right w:val="none" w:sz="0" w:space="0" w:color="auto"/>
                          </w:divBdr>
                          <w:divsChild>
                            <w:div w:id="618338365">
                              <w:marLeft w:val="0"/>
                              <w:marRight w:val="0"/>
                              <w:marTop w:val="0"/>
                              <w:marBottom w:val="0"/>
                              <w:divBdr>
                                <w:top w:val="none" w:sz="0" w:space="0" w:color="auto"/>
                                <w:left w:val="none" w:sz="0" w:space="0" w:color="auto"/>
                                <w:bottom w:val="none" w:sz="0" w:space="0" w:color="auto"/>
                                <w:right w:val="none" w:sz="0" w:space="0" w:color="auto"/>
                              </w:divBdr>
                              <w:divsChild>
                                <w:div w:id="2001493770">
                                  <w:marLeft w:val="0"/>
                                  <w:marRight w:val="0"/>
                                  <w:marTop w:val="0"/>
                                  <w:marBottom w:val="0"/>
                                  <w:divBdr>
                                    <w:top w:val="none" w:sz="0" w:space="0" w:color="auto"/>
                                    <w:left w:val="none" w:sz="0" w:space="0" w:color="auto"/>
                                    <w:bottom w:val="none" w:sz="0" w:space="0" w:color="auto"/>
                                    <w:right w:val="none" w:sz="0" w:space="0" w:color="auto"/>
                                  </w:divBdr>
                                  <w:divsChild>
                                    <w:div w:id="122233401">
                                      <w:marLeft w:val="0"/>
                                      <w:marRight w:val="0"/>
                                      <w:marTop w:val="0"/>
                                      <w:marBottom w:val="0"/>
                                      <w:divBdr>
                                        <w:top w:val="none" w:sz="0" w:space="0" w:color="auto"/>
                                        <w:left w:val="none" w:sz="0" w:space="0" w:color="auto"/>
                                        <w:bottom w:val="none" w:sz="0" w:space="0" w:color="auto"/>
                                        <w:right w:val="none" w:sz="0" w:space="0" w:color="auto"/>
                                      </w:divBdr>
                                      <w:divsChild>
                                        <w:div w:id="19212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527226">
      <w:bodyDiv w:val="1"/>
      <w:marLeft w:val="0"/>
      <w:marRight w:val="0"/>
      <w:marTop w:val="0"/>
      <w:marBottom w:val="0"/>
      <w:divBdr>
        <w:top w:val="none" w:sz="0" w:space="0" w:color="auto"/>
        <w:left w:val="none" w:sz="0" w:space="0" w:color="auto"/>
        <w:bottom w:val="none" w:sz="0" w:space="0" w:color="auto"/>
        <w:right w:val="none" w:sz="0" w:space="0" w:color="auto"/>
      </w:divBdr>
    </w:div>
    <w:div w:id="1627345349">
      <w:bodyDiv w:val="1"/>
      <w:marLeft w:val="0"/>
      <w:marRight w:val="0"/>
      <w:marTop w:val="0"/>
      <w:marBottom w:val="0"/>
      <w:divBdr>
        <w:top w:val="none" w:sz="0" w:space="0" w:color="auto"/>
        <w:left w:val="none" w:sz="0" w:space="0" w:color="auto"/>
        <w:bottom w:val="none" w:sz="0" w:space="0" w:color="auto"/>
        <w:right w:val="none" w:sz="0" w:space="0" w:color="auto"/>
      </w:divBdr>
    </w:div>
    <w:div w:id="1627658052">
      <w:bodyDiv w:val="1"/>
      <w:marLeft w:val="0"/>
      <w:marRight w:val="0"/>
      <w:marTop w:val="0"/>
      <w:marBottom w:val="0"/>
      <w:divBdr>
        <w:top w:val="none" w:sz="0" w:space="0" w:color="auto"/>
        <w:left w:val="none" w:sz="0" w:space="0" w:color="auto"/>
        <w:bottom w:val="none" w:sz="0" w:space="0" w:color="auto"/>
        <w:right w:val="none" w:sz="0" w:space="0" w:color="auto"/>
      </w:divBdr>
    </w:div>
    <w:div w:id="1632252163">
      <w:bodyDiv w:val="1"/>
      <w:marLeft w:val="0"/>
      <w:marRight w:val="0"/>
      <w:marTop w:val="0"/>
      <w:marBottom w:val="0"/>
      <w:divBdr>
        <w:top w:val="none" w:sz="0" w:space="0" w:color="auto"/>
        <w:left w:val="none" w:sz="0" w:space="0" w:color="auto"/>
        <w:bottom w:val="none" w:sz="0" w:space="0" w:color="auto"/>
        <w:right w:val="none" w:sz="0" w:space="0" w:color="auto"/>
      </w:divBdr>
    </w:div>
    <w:div w:id="1647122943">
      <w:bodyDiv w:val="1"/>
      <w:marLeft w:val="0"/>
      <w:marRight w:val="0"/>
      <w:marTop w:val="0"/>
      <w:marBottom w:val="0"/>
      <w:divBdr>
        <w:top w:val="none" w:sz="0" w:space="0" w:color="auto"/>
        <w:left w:val="none" w:sz="0" w:space="0" w:color="auto"/>
        <w:bottom w:val="none" w:sz="0" w:space="0" w:color="auto"/>
        <w:right w:val="none" w:sz="0" w:space="0" w:color="auto"/>
      </w:divBdr>
    </w:div>
    <w:div w:id="1659503354">
      <w:bodyDiv w:val="1"/>
      <w:marLeft w:val="0"/>
      <w:marRight w:val="0"/>
      <w:marTop w:val="0"/>
      <w:marBottom w:val="0"/>
      <w:divBdr>
        <w:top w:val="none" w:sz="0" w:space="0" w:color="auto"/>
        <w:left w:val="none" w:sz="0" w:space="0" w:color="auto"/>
        <w:bottom w:val="none" w:sz="0" w:space="0" w:color="auto"/>
        <w:right w:val="none" w:sz="0" w:space="0" w:color="auto"/>
      </w:divBdr>
      <w:divsChild>
        <w:div w:id="1692610235">
          <w:marLeft w:val="0"/>
          <w:marRight w:val="0"/>
          <w:marTop w:val="0"/>
          <w:marBottom w:val="0"/>
          <w:divBdr>
            <w:top w:val="none" w:sz="0" w:space="0" w:color="auto"/>
            <w:left w:val="none" w:sz="0" w:space="0" w:color="auto"/>
            <w:bottom w:val="none" w:sz="0" w:space="0" w:color="auto"/>
            <w:right w:val="none" w:sz="0" w:space="0" w:color="auto"/>
          </w:divBdr>
          <w:divsChild>
            <w:div w:id="2035764652">
              <w:marLeft w:val="0"/>
              <w:marRight w:val="0"/>
              <w:marTop w:val="0"/>
              <w:marBottom w:val="0"/>
              <w:divBdr>
                <w:top w:val="none" w:sz="0" w:space="0" w:color="auto"/>
                <w:left w:val="none" w:sz="0" w:space="0" w:color="auto"/>
                <w:bottom w:val="none" w:sz="0" w:space="0" w:color="auto"/>
                <w:right w:val="none" w:sz="0" w:space="0" w:color="auto"/>
              </w:divBdr>
              <w:divsChild>
                <w:div w:id="401830212">
                  <w:marLeft w:val="0"/>
                  <w:marRight w:val="0"/>
                  <w:marTop w:val="0"/>
                  <w:marBottom w:val="0"/>
                  <w:divBdr>
                    <w:top w:val="none" w:sz="0" w:space="0" w:color="auto"/>
                    <w:left w:val="none" w:sz="0" w:space="0" w:color="auto"/>
                    <w:bottom w:val="none" w:sz="0" w:space="0" w:color="auto"/>
                    <w:right w:val="none" w:sz="0" w:space="0" w:color="auto"/>
                  </w:divBdr>
                  <w:divsChild>
                    <w:div w:id="1799182176">
                      <w:marLeft w:val="0"/>
                      <w:marRight w:val="0"/>
                      <w:marTop w:val="0"/>
                      <w:marBottom w:val="0"/>
                      <w:divBdr>
                        <w:top w:val="none" w:sz="0" w:space="0" w:color="auto"/>
                        <w:left w:val="none" w:sz="0" w:space="0" w:color="auto"/>
                        <w:bottom w:val="none" w:sz="0" w:space="0" w:color="auto"/>
                        <w:right w:val="none" w:sz="0" w:space="0" w:color="auto"/>
                      </w:divBdr>
                      <w:divsChild>
                        <w:div w:id="1309241618">
                          <w:marLeft w:val="0"/>
                          <w:marRight w:val="0"/>
                          <w:marTop w:val="0"/>
                          <w:marBottom w:val="0"/>
                          <w:divBdr>
                            <w:top w:val="none" w:sz="0" w:space="0" w:color="auto"/>
                            <w:left w:val="none" w:sz="0" w:space="0" w:color="auto"/>
                            <w:bottom w:val="none" w:sz="0" w:space="0" w:color="auto"/>
                            <w:right w:val="none" w:sz="0" w:space="0" w:color="auto"/>
                          </w:divBdr>
                          <w:divsChild>
                            <w:div w:id="1660421596">
                              <w:marLeft w:val="0"/>
                              <w:marRight w:val="0"/>
                              <w:marTop w:val="0"/>
                              <w:marBottom w:val="0"/>
                              <w:divBdr>
                                <w:top w:val="none" w:sz="0" w:space="0" w:color="auto"/>
                                <w:left w:val="none" w:sz="0" w:space="0" w:color="auto"/>
                                <w:bottom w:val="none" w:sz="0" w:space="0" w:color="auto"/>
                                <w:right w:val="none" w:sz="0" w:space="0" w:color="auto"/>
                              </w:divBdr>
                              <w:divsChild>
                                <w:div w:id="627277732">
                                  <w:marLeft w:val="0"/>
                                  <w:marRight w:val="0"/>
                                  <w:marTop w:val="0"/>
                                  <w:marBottom w:val="0"/>
                                  <w:divBdr>
                                    <w:top w:val="none" w:sz="0" w:space="0" w:color="auto"/>
                                    <w:left w:val="none" w:sz="0" w:space="0" w:color="auto"/>
                                    <w:bottom w:val="none" w:sz="0" w:space="0" w:color="auto"/>
                                    <w:right w:val="none" w:sz="0" w:space="0" w:color="auto"/>
                                  </w:divBdr>
                                  <w:divsChild>
                                    <w:div w:id="8285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13800">
      <w:bodyDiv w:val="1"/>
      <w:marLeft w:val="0"/>
      <w:marRight w:val="0"/>
      <w:marTop w:val="0"/>
      <w:marBottom w:val="0"/>
      <w:divBdr>
        <w:top w:val="none" w:sz="0" w:space="0" w:color="auto"/>
        <w:left w:val="none" w:sz="0" w:space="0" w:color="auto"/>
        <w:bottom w:val="none" w:sz="0" w:space="0" w:color="auto"/>
        <w:right w:val="none" w:sz="0" w:space="0" w:color="auto"/>
      </w:divBdr>
    </w:div>
    <w:div w:id="1680156598">
      <w:bodyDiv w:val="1"/>
      <w:marLeft w:val="0"/>
      <w:marRight w:val="0"/>
      <w:marTop w:val="0"/>
      <w:marBottom w:val="0"/>
      <w:divBdr>
        <w:top w:val="none" w:sz="0" w:space="0" w:color="auto"/>
        <w:left w:val="none" w:sz="0" w:space="0" w:color="auto"/>
        <w:bottom w:val="none" w:sz="0" w:space="0" w:color="auto"/>
        <w:right w:val="none" w:sz="0" w:space="0" w:color="auto"/>
      </w:divBdr>
    </w:div>
    <w:div w:id="1684624916">
      <w:bodyDiv w:val="1"/>
      <w:marLeft w:val="0"/>
      <w:marRight w:val="0"/>
      <w:marTop w:val="0"/>
      <w:marBottom w:val="0"/>
      <w:divBdr>
        <w:top w:val="none" w:sz="0" w:space="0" w:color="auto"/>
        <w:left w:val="none" w:sz="0" w:space="0" w:color="auto"/>
        <w:bottom w:val="none" w:sz="0" w:space="0" w:color="auto"/>
        <w:right w:val="none" w:sz="0" w:space="0" w:color="auto"/>
      </w:divBdr>
    </w:div>
    <w:div w:id="1703290078">
      <w:bodyDiv w:val="1"/>
      <w:marLeft w:val="0"/>
      <w:marRight w:val="0"/>
      <w:marTop w:val="0"/>
      <w:marBottom w:val="0"/>
      <w:divBdr>
        <w:top w:val="none" w:sz="0" w:space="0" w:color="auto"/>
        <w:left w:val="none" w:sz="0" w:space="0" w:color="auto"/>
        <w:bottom w:val="none" w:sz="0" w:space="0" w:color="auto"/>
        <w:right w:val="none" w:sz="0" w:space="0" w:color="auto"/>
      </w:divBdr>
    </w:div>
    <w:div w:id="1717701321">
      <w:bodyDiv w:val="1"/>
      <w:marLeft w:val="0"/>
      <w:marRight w:val="0"/>
      <w:marTop w:val="0"/>
      <w:marBottom w:val="0"/>
      <w:divBdr>
        <w:top w:val="none" w:sz="0" w:space="0" w:color="auto"/>
        <w:left w:val="none" w:sz="0" w:space="0" w:color="auto"/>
        <w:bottom w:val="none" w:sz="0" w:space="0" w:color="auto"/>
        <w:right w:val="none" w:sz="0" w:space="0" w:color="auto"/>
      </w:divBdr>
    </w:div>
    <w:div w:id="1722945543">
      <w:bodyDiv w:val="1"/>
      <w:marLeft w:val="0"/>
      <w:marRight w:val="0"/>
      <w:marTop w:val="0"/>
      <w:marBottom w:val="0"/>
      <w:divBdr>
        <w:top w:val="none" w:sz="0" w:space="0" w:color="auto"/>
        <w:left w:val="none" w:sz="0" w:space="0" w:color="auto"/>
        <w:bottom w:val="none" w:sz="0" w:space="0" w:color="auto"/>
        <w:right w:val="none" w:sz="0" w:space="0" w:color="auto"/>
      </w:divBdr>
      <w:divsChild>
        <w:div w:id="1443526644">
          <w:marLeft w:val="0"/>
          <w:marRight w:val="0"/>
          <w:marTop w:val="0"/>
          <w:marBottom w:val="0"/>
          <w:divBdr>
            <w:top w:val="none" w:sz="0" w:space="0" w:color="auto"/>
            <w:left w:val="none" w:sz="0" w:space="0" w:color="auto"/>
            <w:bottom w:val="none" w:sz="0" w:space="0" w:color="auto"/>
            <w:right w:val="none" w:sz="0" w:space="0" w:color="auto"/>
          </w:divBdr>
          <w:divsChild>
            <w:div w:id="1340960861">
              <w:marLeft w:val="0"/>
              <w:marRight w:val="0"/>
              <w:marTop w:val="0"/>
              <w:marBottom w:val="0"/>
              <w:divBdr>
                <w:top w:val="none" w:sz="0" w:space="0" w:color="auto"/>
                <w:left w:val="none" w:sz="0" w:space="0" w:color="auto"/>
                <w:bottom w:val="none" w:sz="0" w:space="0" w:color="auto"/>
                <w:right w:val="none" w:sz="0" w:space="0" w:color="auto"/>
              </w:divBdr>
              <w:divsChild>
                <w:div w:id="170683635">
                  <w:marLeft w:val="0"/>
                  <w:marRight w:val="0"/>
                  <w:marTop w:val="0"/>
                  <w:marBottom w:val="0"/>
                  <w:divBdr>
                    <w:top w:val="none" w:sz="0" w:space="0" w:color="auto"/>
                    <w:left w:val="none" w:sz="0" w:space="0" w:color="auto"/>
                    <w:bottom w:val="none" w:sz="0" w:space="0" w:color="auto"/>
                    <w:right w:val="none" w:sz="0" w:space="0" w:color="auto"/>
                  </w:divBdr>
                  <w:divsChild>
                    <w:div w:id="12790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2154">
      <w:bodyDiv w:val="1"/>
      <w:marLeft w:val="0"/>
      <w:marRight w:val="0"/>
      <w:marTop w:val="0"/>
      <w:marBottom w:val="0"/>
      <w:divBdr>
        <w:top w:val="none" w:sz="0" w:space="0" w:color="auto"/>
        <w:left w:val="none" w:sz="0" w:space="0" w:color="auto"/>
        <w:bottom w:val="none" w:sz="0" w:space="0" w:color="auto"/>
        <w:right w:val="none" w:sz="0" w:space="0" w:color="auto"/>
      </w:divBdr>
    </w:div>
    <w:div w:id="1747220472">
      <w:bodyDiv w:val="1"/>
      <w:marLeft w:val="0"/>
      <w:marRight w:val="0"/>
      <w:marTop w:val="0"/>
      <w:marBottom w:val="0"/>
      <w:divBdr>
        <w:top w:val="none" w:sz="0" w:space="0" w:color="auto"/>
        <w:left w:val="none" w:sz="0" w:space="0" w:color="auto"/>
        <w:bottom w:val="none" w:sz="0" w:space="0" w:color="auto"/>
        <w:right w:val="none" w:sz="0" w:space="0" w:color="auto"/>
      </w:divBdr>
    </w:div>
    <w:div w:id="1789155547">
      <w:bodyDiv w:val="1"/>
      <w:marLeft w:val="0"/>
      <w:marRight w:val="0"/>
      <w:marTop w:val="0"/>
      <w:marBottom w:val="0"/>
      <w:divBdr>
        <w:top w:val="none" w:sz="0" w:space="0" w:color="auto"/>
        <w:left w:val="none" w:sz="0" w:space="0" w:color="auto"/>
        <w:bottom w:val="none" w:sz="0" w:space="0" w:color="auto"/>
        <w:right w:val="none" w:sz="0" w:space="0" w:color="auto"/>
      </w:divBdr>
    </w:div>
    <w:div w:id="1802570813">
      <w:bodyDiv w:val="1"/>
      <w:marLeft w:val="0"/>
      <w:marRight w:val="0"/>
      <w:marTop w:val="0"/>
      <w:marBottom w:val="0"/>
      <w:divBdr>
        <w:top w:val="none" w:sz="0" w:space="0" w:color="auto"/>
        <w:left w:val="none" w:sz="0" w:space="0" w:color="auto"/>
        <w:bottom w:val="none" w:sz="0" w:space="0" w:color="auto"/>
        <w:right w:val="none" w:sz="0" w:space="0" w:color="auto"/>
      </w:divBdr>
      <w:divsChild>
        <w:div w:id="1615477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550600">
      <w:bodyDiv w:val="1"/>
      <w:marLeft w:val="0"/>
      <w:marRight w:val="0"/>
      <w:marTop w:val="0"/>
      <w:marBottom w:val="0"/>
      <w:divBdr>
        <w:top w:val="none" w:sz="0" w:space="0" w:color="auto"/>
        <w:left w:val="none" w:sz="0" w:space="0" w:color="auto"/>
        <w:bottom w:val="none" w:sz="0" w:space="0" w:color="auto"/>
        <w:right w:val="none" w:sz="0" w:space="0" w:color="auto"/>
      </w:divBdr>
    </w:div>
    <w:div w:id="1820731930">
      <w:bodyDiv w:val="1"/>
      <w:marLeft w:val="0"/>
      <w:marRight w:val="0"/>
      <w:marTop w:val="0"/>
      <w:marBottom w:val="0"/>
      <w:divBdr>
        <w:top w:val="none" w:sz="0" w:space="0" w:color="auto"/>
        <w:left w:val="none" w:sz="0" w:space="0" w:color="auto"/>
        <w:bottom w:val="none" w:sz="0" w:space="0" w:color="auto"/>
        <w:right w:val="none" w:sz="0" w:space="0" w:color="auto"/>
      </w:divBdr>
      <w:divsChild>
        <w:div w:id="1732534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1310">
      <w:bodyDiv w:val="1"/>
      <w:marLeft w:val="0"/>
      <w:marRight w:val="0"/>
      <w:marTop w:val="0"/>
      <w:marBottom w:val="0"/>
      <w:divBdr>
        <w:top w:val="none" w:sz="0" w:space="0" w:color="auto"/>
        <w:left w:val="none" w:sz="0" w:space="0" w:color="auto"/>
        <w:bottom w:val="none" w:sz="0" w:space="0" w:color="auto"/>
        <w:right w:val="none" w:sz="0" w:space="0" w:color="auto"/>
      </w:divBdr>
      <w:divsChild>
        <w:div w:id="68055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71399">
      <w:bodyDiv w:val="1"/>
      <w:marLeft w:val="0"/>
      <w:marRight w:val="0"/>
      <w:marTop w:val="0"/>
      <w:marBottom w:val="0"/>
      <w:divBdr>
        <w:top w:val="none" w:sz="0" w:space="0" w:color="auto"/>
        <w:left w:val="none" w:sz="0" w:space="0" w:color="auto"/>
        <w:bottom w:val="none" w:sz="0" w:space="0" w:color="auto"/>
        <w:right w:val="none" w:sz="0" w:space="0" w:color="auto"/>
      </w:divBdr>
      <w:divsChild>
        <w:div w:id="1687904889">
          <w:marLeft w:val="0"/>
          <w:marRight w:val="0"/>
          <w:marTop w:val="0"/>
          <w:marBottom w:val="0"/>
          <w:divBdr>
            <w:top w:val="none" w:sz="0" w:space="0" w:color="auto"/>
            <w:left w:val="none" w:sz="0" w:space="0" w:color="auto"/>
            <w:bottom w:val="none" w:sz="0" w:space="0" w:color="auto"/>
            <w:right w:val="none" w:sz="0" w:space="0" w:color="auto"/>
          </w:divBdr>
          <w:divsChild>
            <w:div w:id="94330475">
              <w:marLeft w:val="0"/>
              <w:marRight w:val="0"/>
              <w:marTop w:val="0"/>
              <w:marBottom w:val="0"/>
              <w:divBdr>
                <w:top w:val="none" w:sz="0" w:space="0" w:color="auto"/>
                <w:left w:val="none" w:sz="0" w:space="0" w:color="auto"/>
                <w:bottom w:val="none" w:sz="0" w:space="0" w:color="auto"/>
                <w:right w:val="none" w:sz="0" w:space="0" w:color="auto"/>
              </w:divBdr>
              <w:divsChild>
                <w:div w:id="30963844">
                  <w:marLeft w:val="0"/>
                  <w:marRight w:val="0"/>
                  <w:marTop w:val="0"/>
                  <w:marBottom w:val="0"/>
                  <w:divBdr>
                    <w:top w:val="none" w:sz="0" w:space="0" w:color="auto"/>
                    <w:left w:val="none" w:sz="0" w:space="0" w:color="auto"/>
                    <w:bottom w:val="none" w:sz="0" w:space="0" w:color="auto"/>
                    <w:right w:val="none" w:sz="0" w:space="0" w:color="auto"/>
                  </w:divBdr>
                  <w:divsChild>
                    <w:div w:id="168759687">
                      <w:marLeft w:val="0"/>
                      <w:marRight w:val="0"/>
                      <w:marTop w:val="0"/>
                      <w:marBottom w:val="0"/>
                      <w:divBdr>
                        <w:top w:val="none" w:sz="0" w:space="0" w:color="auto"/>
                        <w:left w:val="none" w:sz="0" w:space="0" w:color="auto"/>
                        <w:bottom w:val="none" w:sz="0" w:space="0" w:color="auto"/>
                        <w:right w:val="none" w:sz="0" w:space="0" w:color="auto"/>
                      </w:divBdr>
                      <w:divsChild>
                        <w:div w:id="1308703298">
                          <w:marLeft w:val="0"/>
                          <w:marRight w:val="0"/>
                          <w:marTop w:val="0"/>
                          <w:marBottom w:val="0"/>
                          <w:divBdr>
                            <w:top w:val="none" w:sz="0" w:space="0" w:color="auto"/>
                            <w:left w:val="none" w:sz="0" w:space="0" w:color="auto"/>
                            <w:bottom w:val="none" w:sz="0" w:space="0" w:color="auto"/>
                            <w:right w:val="none" w:sz="0" w:space="0" w:color="auto"/>
                          </w:divBdr>
                          <w:divsChild>
                            <w:div w:id="1322927878">
                              <w:marLeft w:val="0"/>
                              <w:marRight w:val="0"/>
                              <w:marTop w:val="0"/>
                              <w:marBottom w:val="0"/>
                              <w:divBdr>
                                <w:top w:val="none" w:sz="0" w:space="0" w:color="auto"/>
                                <w:left w:val="none" w:sz="0" w:space="0" w:color="auto"/>
                                <w:bottom w:val="none" w:sz="0" w:space="0" w:color="auto"/>
                                <w:right w:val="none" w:sz="0" w:space="0" w:color="auto"/>
                              </w:divBdr>
                              <w:divsChild>
                                <w:div w:id="1620140698">
                                  <w:marLeft w:val="0"/>
                                  <w:marRight w:val="0"/>
                                  <w:marTop w:val="0"/>
                                  <w:marBottom w:val="0"/>
                                  <w:divBdr>
                                    <w:top w:val="none" w:sz="0" w:space="0" w:color="auto"/>
                                    <w:left w:val="none" w:sz="0" w:space="0" w:color="auto"/>
                                    <w:bottom w:val="none" w:sz="0" w:space="0" w:color="auto"/>
                                    <w:right w:val="none" w:sz="0" w:space="0" w:color="auto"/>
                                  </w:divBdr>
                                  <w:divsChild>
                                    <w:div w:id="4063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085219">
      <w:bodyDiv w:val="1"/>
      <w:marLeft w:val="0"/>
      <w:marRight w:val="0"/>
      <w:marTop w:val="0"/>
      <w:marBottom w:val="0"/>
      <w:divBdr>
        <w:top w:val="none" w:sz="0" w:space="0" w:color="auto"/>
        <w:left w:val="none" w:sz="0" w:space="0" w:color="auto"/>
        <w:bottom w:val="none" w:sz="0" w:space="0" w:color="auto"/>
        <w:right w:val="none" w:sz="0" w:space="0" w:color="auto"/>
      </w:divBdr>
    </w:div>
    <w:div w:id="1900437282">
      <w:bodyDiv w:val="1"/>
      <w:marLeft w:val="0"/>
      <w:marRight w:val="0"/>
      <w:marTop w:val="0"/>
      <w:marBottom w:val="0"/>
      <w:divBdr>
        <w:top w:val="none" w:sz="0" w:space="0" w:color="auto"/>
        <w:left w:val="none" w:sz="0" w:space="0" w:color="auto"/>
        <w:bottom w:val="none" w:sz="0" w:space="0" w:color="auto"/>
        <w:right w:val="none" w:sz="0" w:space="0" w:color="auto"/>
      </w:divBdr>
    </w:div>
    <w:div w:id="1907104651">
      <w:bodyDiv w:val="1"/>
      <w:marLeft w:val="0"/>
      <w:marRight w:val="0"/>
      <w:marTop w:val="0"/>
      <w:marBottom w:val="0"/>
      <w:divBdr>
        <w:top w:val="none" w:sz="0" w:space="0" w:color="auto"/>
        <w:left w:val="none" w:sz="0" w:space="0" w:color="auto"/>
        <w:bottom w:val="none" w:sz="0" w:space="0" w:color="auto"/>
        <w:right w:val="none" w:sz="0" w:space="0" w:color="auto"/>
      </w:divBdr>
    </w:div>
    <w:div w:id="1924214284">
      <w:bodyDiv w:val="1"/>
      <w:marLeft w:val="0"/>
      <w:marRight w:val="0"/>
      <w:marTop w:val="0"/>
      <w:marBottom w:val="0"/>
      <w:divBdr>
        <w:top w:val="none" w:sz="0" w:space="0" w:color="auto"/>
        <w:left w:val="none" w:sz="0" w:space="0" w:color="auto"/>
        <w:bottom w:val="none" w:sz="0" w:space="0" w:color="auto"/>
        <w:right w:val="none" w:sz="0" w:space="0" w:color="auto"/>
      </w:divBdr>
    </w:div>
    <w:div w:id="1934122646">
      <w:bodyDiv w:val="1"/>
      <w:marLeft w:val="0"/>
      <w:marRight w:val="0"/>
      <w:marTop w:val="0"/>
      <w:marBottom w:val="0"/>
      <w:divBdr>
        <w:top w:val="none" w:sz="0" w:space="0" w:color="auto"/>
        <w:left w:val="none" w:sz="0" w:space="0" w:color="auto"/>
        <w:bottom w:val="none" w:sz="0" w:space="0" w:color="auto"/>
        <w:right w:val="none" w:sz="0" w:space="0" w:color="auto"/>
      </w:divBdr>
    </w:div>
    <w:div w:id="1963143914">
      <w:bodyDiv w:val="1"/>
      <w:marLeft w:val="0"/>
      <w:marRight w:val="0"/>
      <w:marTop w:val="0"/>
      <w:marBottom w:val="0"/>
      <w:divBdr>
        <w:top w:val="none" w:sz="0" w:space="0" w:color="auto"/>
        <w:left w:val="none" w:sz="0" w:space="0" w:color="auto"/>
        <w:bottom w:val="none" w:sz="0" w:space="0" w:color="auto"/>
        <w:right w:val="none" w:sz="0" w:space="0" w:color="auto"/>
      </w:divBdr>
    </w:div>
    <w:div w:id="1982809290">
      <w:bodyDiv w:val="1"/>
      <w:marLeft w:val="0"/>
      <w:marRight w:val="0"/>
      <w:marTop w:val="0"/>
      <w:marBottom w:val="0"/>
      <w:divBdr>
        <w:top w:val="none" w:sz="0" w:space="0" w:color="auto"/>
        <w:left w:val="none" w:sz="0" w:space="0" w:color="auto"/>
        <w:bottom w:val="none" w:sz="0" w:space="0" w:color="auto"/>
        <w:right w:val="none" w:sz="0" w:space="0" w:color="auto"/>
      </w:divBdr>
    </w:div>
    <w:div w:id="1986273267">
      <w:bodyDiv w:val="1"/>
      <w:marLeft w:val="0"/>
      <w:marRight w:val="0"/>
      <w:marTop w:val="0"/>
      <w:marBottom w:val="0"/>
      <w:divBdr>
        <w:top w:val="none" w:sz="0" w:space="0" w:color="auto"/>
        <w:left w:val="none" w:sz="0" w:space="0" w:color="auto"/>
        <w:bottom w:val="none" w:sz="0" w:space="0" w:color="auto"/>
        <w:right w:val="none" w:sz="0" w:space="0" w:color="auto"/>
      </w:divBdr>
    </w:div>
    <w:div w:id="1989942439">
      <w:bodyDiv w:val="1"/>
      <w:marLeft w:val="0"/>
      <w:marRight w:val="0"/>
      <w:marTop w:val="0"/>
      <w:marBottom w:val="0"/>
      <w:divBdr>
        <w:top w:val="none" w:sz="0" w:space="0" w:color="auto"/>
        <w:left w:val="none" w:sz="0" w:space="0" w:color="auto"/>
        <w:bottom w:val="none" w:sz="0" w:space="0" w:color="auto"/>
        <w:right w:val="none" w:sz="0" w:space="0" w:color="auto"/>
      </w:divBdr>
      <w:divsChild>
        <w:div w:id="280577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7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da.nunezaguirre@ugto.mx" TargetMode="External"/><Relationship Id="rId1" Type="http://schemas.openxmlformats.org/officeDocument/2006/relationships/hyperlink" Target="mailto:noriegajafe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13475</Words>
  <Characters>74115</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2025-12-07T16:15:00Z</cp:lastPrinted>
  <dcterms:created xsi:type="dcterms:W3CDTF">2025-12-07T16:15:00Z</dcterms:created>
  <dcterms:modified xsi:type="dcterms:W3CDTF">2025-12-07T16:15:00Z</dcterms:modified>
</cp:coreProperties>
</file>